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260FB">
      <w:pPr>
        <w:pStyle w:val="8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 w14:paraId="1EA7EBC7">
      <w:pPr>
        <w:pStyle w:val="8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</w:rPr>
        <w:t>调研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 w14:paraId="3A8B8233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053378F9">
      <w:pPr>
        <w:pStyle w:val="11"/>
        <w:spacing w:line="360" w:lineRule="auto"/>
        <w:rPr>
          <w:rFonts w:asciiTheme="minorEastAsia" w:hAnsiTheme="minorEastAsia" w:eastAsiaTheme="minorEastAsia"/>
        </w:rPr>
      </w:pPr>
    </w:p>
    <w:p w14:paraId="588B2391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7C0B4508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6E09C246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16CD0EB2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7415E959"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 w14:paraId="10A49AD5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80" w:leftChars="10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茂名市电白区妇幼保健院医学检验项目外送服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务采购项目</w:t>
      </w:r>
    </w:p>
    <w:p w14:paraId="3D1C1BF5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 w14:paraId="649F310E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 w14:paraId="1FDDB44E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 w14:paraId="6D1AA05E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 w14:paraId="0F44AF03"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 w14:paraId="613ABC7B">
      <w:pPr>
        <w:pStyle w:val="11"/>
        <w:spacing w:line="360" w:lineRule="auto"/>
        <w:rPr>
          <w:rFonts w:asciiTheme="minorEastAsia" w:hAnsiTheme="minorEastAsia" w:eastAsiaTheme="minorEastAsia"/>
        </w:rPr>
      </w:pPr>
    </w:p>
    <w:p w14:paraId="4213BCA0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28609"/>
      <w:bookmarkStart w:id="1" w:name="_Toc128474408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 w14:paraId="748C4C49">
      <w:pPr>
        <w:pStyle w:val="11"/>
        <w:spacing w:line="360" w:lineRule="auto"/>
        <w:rPr>
          <w:rFonts w:asciiTheme="minorEastAsia" w:hAnsiTheme="minorEastAsia" w:eastAsiaTheme="minorEastAsia"/>
        </w:rPr>
      </w:pPr>
    </w:p>
    <w:p w14:paraId="57940EEC">
      <w:pPr>
        <w:pStyle w:val="11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1.本次调研仅作为采购人编制采购需求的参考，参与本次调研并不代表取得订单。</w:t>
      </w:r>
    </w:p>
    <w:p w14:paraId="648C9D3E"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2.本次调研的项目需求为本项目的初步需求，采购人可视调研情况进行调整。</w:t>
      </w:r>
    </w:p>
    <w:p w14:paraId="4450806A">
      <w:pPr>
        <w:pStyle w:val="11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3.本项目严禁各供应商进行恶意串通、恶意竞争或其它违规行为，一经查实，将上报采购人。</w:t>
      </w:r>
    </w:p>
    <w:p w14:paraId="7DC13A99">
      <w:pPr>
        <w:pStyle w:val="11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4.供应商需为本次调研提交的所有资料真实性负责。</w:t>
      </w:r>
    </w:p>
    <w:p w14:paraId="6A767422"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</w:p>
    <w:p w14:paraId="5FA2692B"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3E6430AF">
      <w:pPr>
        <w:pStyle w:val="3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0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 w14:paraId="1829D812"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bookmarkStart w:id="2" w:name="_Toc133103939"/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</w:t>
          </w: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  <w:lang w:val="en-US" w:eastAsia="zh-CN"/>
            </w:rPr>
            <w:t xml:space="preserve">  </w:t>
          </w:r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录</w:t>
          </w:r>
        </w:p>
        <w:p w14:paraId="65979113">
          <w:pPr>
            <w:pStyle w:val="11"/>
            <w:rPr>
              <w:rFonts w:eastAsia="宋体"/>
              <w:b w:val="0"/>
              <w:smallCaps w:val="0"/>
              <w:sz w:val="28"/>
            </w:rPr>
          </w:pPr>
        </w:p>
        <w:p w14:paraId="1E16075B">
          <w:pPr>
            <w:pStyle w:val="11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_Toc2331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b w:val="0"/>
              <w:bCs w:val="0"/>
            </w:rPr>
            <w:t>营业执照</w:t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及相关资质证书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_Toc2331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2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 w14:paraId="68121347">
          <w:pPr>
            <w:pStyle w:val="11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_Toc11115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 xml:space="preserve">二、 </w:t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报价表（加盖公章）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_Toc11115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3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 w14:paraId="717F8D72">
          <w:pPr>
            <w:pStyle w:val="11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_Toc19086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三、 检验项目服务清单响应表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_Toc19086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4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 w14:paraId="05358734">
          <w:pPr>
            <w:pStyle w:val="11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_Toc2996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四、 服务方案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_Toc2996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9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 w14:paraId="34ED73C5">
          <w:pPr>
            <w:pStyle w:val="11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b w:val="0"/>
              <w:bCs w:val="0"/>
            </w:r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instrText xml:space="preserve"> HYPERLINK \l _Toc11284 </w:instrText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  <w:lang w:val="en-US" w:eastAsia="zh-CN"/>
            </w:rPr>
            <w:t>五、 近一年同类项目业绩（后附成交合同附件关键页）</w:t>
          </w:r>
          <w:r>
            <w:rPr>
              <w:rFonts w:hint="eastAsia" w:ascii="仿宋" w:hAnsi="仿宋" w:eastAsia="仿宋" w:cs="仿宋"/>
              <w:b w:val="0"/>
              <w:bCs w:val="0"/>
            </w:rPr>
            <w:tab/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</w:rPr>
            <w:instrText xml:space="preserve"> PAGEREF _Toc11284 \h </w:instrTex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separate"/>
          </w:r>
          <w:r>
            <w:rPr>
              <w:rFonts w:hint="eastAsia" w:ascii="仿宋" w:hAnsi="仿宋" w:eastAsia="仿宋" w:cs="仿宋"/>
              <w:b w:val="0"/>
              <w:bCs w:val="0"/>
            </w:rPr>
            <w:t>10</w:t>
          </w:r>
          <w:r>
            <w:rPr>
              <w:rFonts w:hint="eastAsia" w:ascii="仿宋" w:hAnsi="仿宋" w:eastAsia="仿宋" w:cs="仿宋"/>
              <w:b w:val="0"/>
              <w:bCs w:val="0"/>
            </w:rPr>
            <w:fldChar w:fldCharType="end"/>
          </w: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  <w:p w14:paraId="022DB579"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5" w:type="default"/>
              <w:pgSz w:w="11910" w:h="16840"/>
              <w:pgMar w:top="1361" w:right="1803" w:bottom="1440" w:left="1803" w:header="0" w:footer="680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start="1"/>
              <w:cols w:space="720" w:num="1"/>
            </w:sectPr>
          </w:pPr>
          <w:r>
            <w:rPr>
              <w:rFonts w:hint="eastAsia" w:ascii="仿宋" w:hAnsi="仿宋" w:eastAsia="仿宋" w:cs="仿宋"/>
              <w:b w:val="0"/>
              <w:bCs w:val="0"/>
              <w:smallCaps w:val="0"/>
              <w:spacing w:val="10"/>
              <w:szCs w:val="28"/>
            </w:rPr>
            <w:fldChar w:fldCharType="end"/>
          </w:r>
        </w:p>
      </w:sdtContent>
    </w:sdt>
    <w:p w14:paraId="46976062">
      <w:pPr>
        <w:pStyle w:val="3"/>
        <w:bidi w:val="0"/>
        <w:rPr>
          <w:rFonts w:hint="eastAsia"/>
          <w:lang w:val="en-US" w:eastAsia="zh-CN"/>
        </w:rPr>
      </w:pPr>
      <w:bookmarkStart w:id="3" w:name="_Toc2331"/>
      <w:r>
        <w:rPr>
          <w:rFonts w:hint="eastAsia"/>
        </w:rPr>
        <w:t>营业执照</w:t>
      </w:r>
      <w:bookmarkEnd w:id="2"/>
      <w:r>
        <w:rPr>
          <w:rFonts w:hint="eastAsia"/>
          <w:lang w:val="en-US" w:eastAsia="zh-CN"/>
        </w:rPr>
        <w:t>及相关资质证书</w:t>
      </w:r>
      <w:bookmarkEnd w:id="3"/>
    </w:p>
    <w:p w14:paraId="57DDF91D">
      <w:pPr>
        <w:numPr>
          <w:ilvl w:val="0"/>
          <w:numId w:val="3"/>
        </w:numPr>
        <w:bidi w:val="0"/>
        <w:spacing w:line="360" w:lineRule="auto"/>
        <w:rPr>
          <w:rFonts w:hint="eastAsia"/>
        </w:rPr>
      </w:pPr>
      <w:r>
        <w:rPr>
          <w:rFonts w:hint="default"/>
          <w:lang w:val="en-US" w:eastAsia="zh-CN"/>
        </w:rPr>
        <w:t>营业执照</w:t>
      </w:r>
      <w:r>
        <w:rPr>
          <w:rFonts w:hint="eastAsia"/>
        </w:rPr>
        <w:t>复印件（加盖供应商单位公章）</w:t>
      </w:r>
    </w:p>
    <w:p w14:paraId="301CA6E5">
      <w:pPr>
        <w:numPr>
          <w:ilvl w:val="0"/>
          <w:numId w:val="3"/>
        </w:numPr>
        <w:bidi w:val="0"/>
        <w:spacing w:line="360" w:lineRule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企业相关资质认证证书（附证书复印件）</w:t>
      </w:r>
    </w:p>
    <w:p w14:paraId="4D11EECB">
      <w:pPr>
        <w:bidi w:val="0"/>
        <w:rPr>
          <w:rFonts w:hint="eastAsia"/>
          <w:lang w:val="en-US" w:eastAsia="zh-CN"/>
        </w:rPr>
      </w:pPr>
    </w:p>
    <w:tbl>
      <w:tblPr>
        <w:tblStyle w:val="15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0EF7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197B9E7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455D949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505E07E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7B68581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2178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5CB05BC6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34EB3FF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E1678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D5B173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C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5252207F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C26DFF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7F95D9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6687F1B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0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4F7B30B5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5A0C00F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CAFA0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CDB0C7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9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A24048F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501EE8C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52B85C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2997A6E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4F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04441927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0EE6004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4C5452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2FBCBF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E9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6A6D0C1B"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7904F1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E8E1D0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3BDAA5A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075C5C9">
      <w:pPr>
        <w:bidi w:val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</w:p>
    <w:p w14:paraId="6635A900">
      <w:pPr>
        <w:bidi w:val="0"/>
        <w:rPr>
          <w:rFonts w:hint="eastAsia"/>
          <w:lang w:val="en-US" w:eastAsia="zh-CN"/>
        </w:rPr>
      </w:pPr>
    </w:p>
    <w:p w14:paraId="7A6C7AE1">
      <w:pPr>
        <w:bidi w:val="0"/>
        <w:rPr>
          <w:rFonts w:hint="eastAsia"/>
          <w:lang w:val="en-US" w:eastAsia="zh-CN"/>
        </w:rPr>
      </w:pPr>
    </w:p>
    <w:p w14:paraId="79FB762C">
      <w:pPr>
        <w:bidi w:val="0"/>
        <w:rPr>
          <w:rFonts w:hint="eastAsia"/>
          <w:lang w:val="en-US" w:eastAsia="zh-CN"/>
        </w:rPr>
      </w:pPr>
    </w:p>
    <w:p w14:paraId="6AD83D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5E71380">
      <w:pPr>
        <w:pStyle w:val="3"/>
        <w:bidi w:val="0"/>
      </w:pPr>
      <w:bookmarkStart w:id="4" w:name="_Toc11115"/>
      <w:r>
        <w:rPr>
          <w:rFonts w:hint="eastAsia"/>
          <w:lang w:val="en-US" w:eastAsia="zh-CN"/>
        </w:rPr>
        <w:t>报价表（加盖公章）</w:t>
      </w:r>
      <w:bookmarkEnd w:id="4"/>
    </w:p>
    <w:p w14:paraId="6BDBB739"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  <w:t>报价一览表</w:t>
      </w:r>
    </w:p>
    <w:tbl>
      <w:tblPr>
        <w:tblStyle w:val="1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480"/>
        <w:gridCol w:w="1773"/>
        <w:gridCol w:w="1374"/>
        <w:gridCol w:w="1840"/>
        <w:gridCol w:w="771"/>
      </w:tblGrid>
      <w:tr w14:paraId="0E4C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17" w:type="dxa"/>
            <w:gridSpan w:val="6"/>
            <w:vAlign w:val="center"/>
          </w:tcPr>
          <w:p w14:paraId="0E0F3507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200" w:right="0" w:rightChars="0"/>
              <w:jc w:val="both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项目名称：</w:t>
            </w:r>
            <w:r>
              <w:rPr>
                <w:rFonts w:hint="eastAsia" w:ascii="Calibri" w:hAnsi="Calibri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val="en-US" w:eastAsia="zh-CN"/>
              </w:rPr>
              <w:t>茂名市电白区妇幼保健院医学检验委托服务采购项目</w:t>
            </w:r>
          </w:p>
        </w:tc>
      </w:tr>
      <w:tr w14:paraId="61C0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9" w:type="dxa"/>
            <w:vAlign w:val="center"/>
          </w:tcPr>
          <w:p w14:paraId="4E97451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  <w:vAlign w:val="center"/>
          </w:tcPr>
          <w:p w14:paraId="23D90AD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采购预算</w:t>
            </w:r>
          </w:p>
        </w:tc>
        <w:tc>
          <w:tcPr>
            <w:tcW w:w="1773" w:type="dxa"/>
            <w:vAlign w:val="center"/>
          </w:tcPr>
          <w:p w14:paraId="137158A0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采购内容</w:t>
            </w:r>
          </w:p>
        </w:tc>
        <w:tc>
          <w:tcPr>
            <w:tcW w:w="1374" w:type="dxa"/>
            <w:vAlign w:val="center"/>
          </w:tcPr>
          <w:p w14:paraId="48E8E5D1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参与报价</w:t>
            </w:r>
          </w:p>
        </w:tc>
        <w:tc>
          <w:tcPr>
            <w:tcW w:w="1840" w:type="dxa"/>
            <w:vAlign w:val="center"/>
          </w:tcPr>
          <w:p w14:paraId="0B79E52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折扣率</w:t>
            </w:r>
          </w:p>
        </w:tc>
        <w:tc>
          <w:tcPr>
            <w:tcW w:w="771" w:type="dxa"/>
            <w:vAlign w:val="center"/>
          </w:tcPr>
          <w:p w14:paraId="489B9B6B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snapToGrid/>
                <w:kern w:val="2"/>
                <w:sz w:val="24"/>
                <w:szCs w:val="22"/>
                <w:vertAlign w:val="baseline"/>
                <w:lang w:eastAsia="zh-CN"/>
              </w:rPr>
              <w:t>备注</w:t>
            </w:r>
          </w:p>
        </w:tc>
      </w:tr>
      <w:tr w14:paraId="1A90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9" w:type="dxa"/>
            <w:vAlign w:val="center"/>
          </w:tcPr>
          <w:p w14:paraId="09EBD0D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 w14:paraId="5A47C3A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500万元</w:t>
            </w:r>
          </w:p>
        </w:tc>
        <w:tc>
          <w:tcPr>
            <w:tcW w:w="1773" w:type="dxa"/>
            <w:vAlign w:val="center"/>
          </w:tcPr>
          <w:p w14:paraId="5C049CA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检验服务</w:t>
            </w:r>
          </w:p>
        </w:tc>
        <w:tc>
          <w:tcPr>
            <w:tcW w:w="1374" w:type="dxa"/>
            <w:vAlign w:val="center"/>
          </w:tcPr>
          <w:p w14:paraId="37342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sym w:font="Wingdings 2" w:char="00A3"/>
            </w:r>
          </w:p>
        </w:tc>
        <w:tc>
          <w:tcPr>
            <w:tcW w:w="1840" w:type="dxa"/>
            <w:vAlign w:val="center"/>
          </w:tcPr>
          <w:p w14:paraId="213CD159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771" w:type="dxa"/>
            <w:vAlign w:val="center"/>
          </w:tcPr>
          <w:p w14:paraId="1658B41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kern w:val="2"/>
                <w:sz w:val="24"/>
                <w:szCs w:val="24"/>
                <w:vertAlign w:val="baseline"/>
              </w:rPr>
            </w:pPr>
          </w:p>
        </w:tc>
      </w:tr>
    </w:tbl>
    <w:p w14:paraId="2C79DF57"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 w14:paraId="579AE87B">
      <w:pPr>
        <w:widowControl w:val="0"/>
        <w:kinsoku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4"/>
        </w:rPr>
        <w:t>注：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1.请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参与调研的包组对应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中勾选并进行报价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</w:p>
    <w:p w14:paraId="44D72676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2.供应商对项目整体报出结算折扣率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委托检验项目检验费×折扣率=委托检验项目服务费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</w:p>
    <w:p w14:paraId="25DE3039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/>
          <w:kern w:val="2"/>
          <w:sz w:val="24"/>
          <w:szCs w:val="24"/>
          <w:lang w:val="en-US" w:eastAsia="zh-CN"/>
        </w:rPr>
        <w:t>.服务费包含投标人完成对委托检验项目的一切费用，包括标本的接收、运输、检测、报告、临床意义解读、售后服务、人力成本、保险等所有费用</w:t>
      </w:r>
      <w:r>
        <w:rPr>
          <w:rFonts w:hint="eastAsia" w:ascii="仿宋" w:hAnsi="仿宋" w:cs="仿宋"/>
          <w:snapToGrid/>
          <w:kern w:val="2"/>
          <w:sz w:val="24"/>
          <w:szCs w:val="24"/>
          <w:lang w:val="en-US" w:eastAsia="zh-CN"/>
        </w:rPr>
        <w:t>。</w:t>
      </w:r>
    </w:p>
    <w:p w14:paraId="0E2F9219">
      <w:pPr>
        <w:widowControl w:val="0"/>
        <w:kinsoku/>
        <w:autoSpaceDE/>
        <w:autoSpaceDN/>
        <w:bidi w:val="0"/>
        <w:adjustRightInd/>
        <w:snapToGrid/>
        <w:spacing w:line="360" w:lineRule="auto"/>
        <w:ind w:firstLine="462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.本次供应商的调研响应报价不代表最终投标价格。</w:t>
      </w:r>
    </w:p>
    <w:p w14:paraId="2D45B19B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 w14:paraId="25FC6ED9">
      <w:pPr>
        <w:bidi w:val="0"/>
        <w:rPr>
          <w:rFonts w:hint="eastAsia"/>
          <w:lang w:val="en-US" w:eastAsia="zh-CN"/>
        </w:rPr>
      </w:pPr>
    </w:p>
    <w:p w14:paraId="1E7860C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 w14:paraId="4D4739CD"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 w14:paraId="6D687F46"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 w14:paraId="2657A78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</w:p>
    <w:p w14:paraId="0D1BE07E">
      <w:pPr>
        <w:pStyle w:val="3"/>
        <w:bidi w:val="0"/>
        <w:rPr>
          <w:rFonts w:hint="eastAsia"/>
          <w:lang w:val="en-US" w:eastAsia="zh-CN"/>
        </w:rPr>
      </w:pPr>
      <w:bookmarkStart w:id="5" w:name="_Toc19086"/>
      <w:bookmarkStart w:id="6" w:name="_Toc133103948"/>
      <w:r>
        <w:rPr>
          <w:rFonts w:hint="eastAsia"/>
          <w:lang w:val="en-US" w:eastAsia="zh-CN"/>
        </w:rPr>
        <w:t>检验项目服务清单响应表</w:t>
      </w:r>
      <w:bookmarkEnd w:id="5"/>
    </w:p>
    <w:p w14:paraId="12D477D8">
      <w:pP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请供应商选择参与调研的</w:t>
      </w:r>
      <w:r>
        <w:rPr>
          <w:rFonts w:hint="eastAsia" w:ascii="仿宋" w:hAnsi="仿宋" w:cs="仿宋"/>
          <w:b w:val="0"/>
          <w:bCs w:val="0"/>
          <w:color w:val="FF0000"/>
          <w:sz w:val="24"/>
          <w:szCs w:val="24"/>
          <w:lang w:val="en-US" w:eastAsia="zh-CN"/>
        </w:rPr>
        <w:t>对应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进行响应，不参与调研的可自行删除。</w:t>
      </w:r>
    </w:p>
    <w:tbl>
      <w:tblPr>
        <w:tblStyle w:val="14"/>
        <w:tblW w:w="68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16"/>
        <w:gridCol w:w="910"/>
        <w:gridCol w:w="910"/>
        <w:gridCol w:w="910"/>
        <w:gridCol w:w="939"/>
        <w:gridCol w:w="910"/>
      </w:tblGrid>
      <w:tr w14:paraId="7451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B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检测方法学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B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报告时限1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4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如不响应，请列明使用的检测方法及报告时限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2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B3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FAB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25-羟基维生素D三项(血清)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99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3C53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当天报告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800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0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D3B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18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B77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病原体多重检测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18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FAD6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89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65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A7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6B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1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6A5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血浆蛋白S活性测定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5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7F8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807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42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296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0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F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EA2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血清泌乳素测定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DE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3CA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9ED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C1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4C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A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7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6A6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17α-羟基孕酮测定(17α-OHP)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4A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D7E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EE9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855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7D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E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F37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癌胚抗原测定(CEA)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8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BD9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42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6E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4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1F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7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9A2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血浆促肾上腺皮质激素测定(ACTH)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9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BF3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1F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C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1B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AF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816A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风湿三项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3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AF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94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10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33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9D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046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贫血四项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0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D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CC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7E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30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64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1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C3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血清胰岛素测定(INS)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A1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8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071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68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F3B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0D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D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E9B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3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F5B0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A0B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2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B3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8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5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A196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肿瘤三项组合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1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A70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38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59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C1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9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B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E00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生长激素激发试验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19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1BCF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54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DA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935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51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9ED3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血皮质醇(PC)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CC2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642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63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D83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0D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2F1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血清空腹胰岛素(INS0)测定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23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CCB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89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BB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28B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37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356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血清餐后半小时胰岛素(INS1/2)测定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9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D60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EE1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96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B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FE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CD2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血清餐后一小时胰岛素(INS1)测定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7C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A36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55D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7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813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A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208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血清餐后二小时胰岛素(INS2)测定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F6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278F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66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27B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0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4D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2DC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血清餐后三小时胰岛素(INS3)测定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5D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0B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53D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5D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B75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01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763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25-羟基维生素D(VD(25-OH))测定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1C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12B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34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1A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7D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3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DCA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糖类抗原125(CA-125)测定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0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98C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5C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37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F1C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ED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E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CBE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糖类抗原72-4(CA72-4)测定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1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82FE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92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FD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5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DE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F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F8E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糖类抗原242(CA242)测定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45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3575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73C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DE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5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5B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C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5DB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糖类抗原19-9(CA19-9)测定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A4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936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77A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0E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7BB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1F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9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BBA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肿瘤三项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CC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DEB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735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CD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D62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08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693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恶性肿瘤特异生长因子(TSGF)测定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15B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EB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B96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263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9F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6F0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类风湿三项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CB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B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717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E1A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E26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8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235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类风湿因子(RF)测定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F5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0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D3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AB6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2E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7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B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0F44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鳞状细胞癌相关抗原(SCC)测定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75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193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EF7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031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DA9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29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5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不孕不育七项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8F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77D4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99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F84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60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64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2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子宫肿瘤标志物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D8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EAE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E1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6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D1A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8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6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抗缪勒氏管激素(AMH)测定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EE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382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DB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FE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39A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41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C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5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卵巢癌两项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7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2F5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D70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2B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20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09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A60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非妇科细胞学检测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67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E46C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8C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BDA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3D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C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B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A65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微量元素7项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A1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F2D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4D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DC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BA0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92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D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EEAC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过敏原吸入-食物组21项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D2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52A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025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4D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5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2D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C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059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细胞因子12项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A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0CF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AF2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16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019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32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7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A9FD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风疹病毒抗体IgG定量(RVIgG)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47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3AC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80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65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11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03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523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食物不耐受IgG 10项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23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F07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CA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5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083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A5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D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1B8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ABO-Rh新生儿溶血病检测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3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B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17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2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D74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B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D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195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食物不耐受IgG 20项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1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4A0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4A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345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46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39E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外周血淋巴细胞全套(T细胞亚群、B细胞、NK细胞)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BB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5264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F7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78F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A41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5E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3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407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食物特异性抗体IgG4检测（10项）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09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2461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6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3CB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08D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D8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FC9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幽门螺杆菌抗体检测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FF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2E8D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50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F7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AC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FE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4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2F7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骨源性碱性磷酸酶(儿童)(NBAP)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E5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185E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400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268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12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8D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3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26C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24小时尿蛋白定量(TP/24h)测定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26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8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CA8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9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2F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7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F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人乳头瘤病毒(HPV E6/E7 mRNA)检测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1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9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34D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F1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FEC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D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B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30F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人乳头瘤病毒核酸分型检测(21分型)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54B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627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A74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06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4D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3D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3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8A2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人类MTHFR基因检测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5AD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FBA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2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27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D5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1D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5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9DB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EB病毒核酸定量检测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0D0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E08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5A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8CA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DA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4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6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6B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B族链球菌核酸检测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B1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628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98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90E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7E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B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3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FED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大标本病理学检查与诊断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51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FF3A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F4B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77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14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9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6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67D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41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9520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70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66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B1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5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9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C86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中标本病理学检查与诊断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 w14:paraId="391DD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EB8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9B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674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CB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4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4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4FA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小标本病理学检查与诊断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A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8A0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C25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3E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E05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1B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F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6E7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叶酸代谢基因（MTHFR和MTRR）多态性检测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81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1CC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86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BF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47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B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3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416A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乙型肝炎病毒（HBV）DNA定量检测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9C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3C3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E5C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D3B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86B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9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D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BF87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人乳头瘤病毒核酸（14种高危型）检测(两癌)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1A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7832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61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79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40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F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A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D46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尿培养及鉴定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B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595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A3D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35C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8AE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9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D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2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不规则抗体筛查(UAST)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3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696B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≤3个工作日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2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3EB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C7D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D9DCEC1">
      <w:pPr>
        <w:bidi w:val="0"/>
        <w:rPr>
          <w:rFonts w:hint="eastAsia"/>
          <w:lang w:val="en-US" w:eastAsia="zh-CN"/>
        </w:rPr>
      </w:pPr>
    </w:p>
    <w:p w14:paraId="65774B1A">
      <w:pPr>
        <w:pStyle w:val="2"/>
        <w:rPr>
          <w:rFonts w:hint="eastAsia"/>
          <w:lang w:val="en-US" w:eastAsia="zh-CN"/>
        </w:rPr>
      </w:pPr>
    </w:p>
    <w:p w14:paraId="6694D5EF"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68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36"/>
        <w:gridCol w:w="862"/>
        <w:gridCol w:w="881"/>
        <w:gridCol w:w="862"/>
        <w:gridCol w:w="914"/>
        <w:gridCol w:w="862"/>
      </w:tblGrid>
      <w:tr w14:paraId="5124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8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8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C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检测方法学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C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报告时限1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F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是否响应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如不响应，请列明使用的检测方法及报告时限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1F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8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B12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25羟基维生素D测定[25(OH)D]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3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EA5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CA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8AD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77E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A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2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B769E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α-和β-地中海贫血基因检测(单管)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2E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3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5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1B2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9A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9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048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手术标本检查与诊断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56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75F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B1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255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016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3A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372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遗传性耳聋易感基因检测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64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32C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F75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159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7A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A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AD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液基细胞学薄片检测 </w:t>
            </w:r>
          </w:p>
          <w:p w14:paraId="1651E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（TCT）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A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E14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96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14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DE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11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B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C3C5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免疫组化(全自动法)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6B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1BB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B2D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F37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4ED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B4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6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801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活检标本病理学检查与诊断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6F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967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259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F6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04B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7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C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36A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细菌培养＋鉴定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F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706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FD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AF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FF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BC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133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一般细菌培养及鉴定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E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4A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A0C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38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B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255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粪便培养及鉴定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FD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B96F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D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83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104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7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6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淋球菌培养及鉴定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3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0C1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24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58D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854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5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C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8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叶酸代谢基因(MTHFR/MTRR)检测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BB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7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≤4个工作日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2D1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5D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F4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21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6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7E7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胰岛素样生长因子-1（IGF-1）精准检测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1F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4-5个工作日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91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5B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29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5E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F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73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pole基因检测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01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826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AC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A3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5D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2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8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049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SMN1基因检测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98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E0E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1D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13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D6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6C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D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D71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STR片段分析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B4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4AD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F24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F90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BC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8C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894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血培养（需氧菌）+鉴定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DB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74C4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0D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B4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64E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24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AA4D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串联质谱遗传代谢病检测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7E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2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A1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2B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4B8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B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7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维生素A度测定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2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0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D6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3D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87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D3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D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F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维生素E测定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9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E8E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C3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925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C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3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F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维生素D测定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83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E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4EF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65D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07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6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维生素A、E测定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CC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9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F3B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90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33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C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5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维生素A、D测定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DC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8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F2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0A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E84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63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0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维生素A、E、D测定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10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EF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65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6E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BC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F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维生素K1测定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D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7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A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B7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2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C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8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8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维生素K2测定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77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D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389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294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8D9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55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F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维生素A、E、D、K1、K2测定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BF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4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819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B62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FE2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92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C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维生素K1、K2测定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EB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A88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6B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69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F4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8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维生素D、K1、K2测定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2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93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1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A62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09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维生素B1测定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1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3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22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4E5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816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A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D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维生素B2测定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05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5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25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49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2B1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01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维生素B6测定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2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2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AC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E1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01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A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3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63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21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69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C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D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血清肉碱测定（总肉碱、游离肉碱）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D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6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4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6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10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B0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3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0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铅测定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9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6DD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AAE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5A2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0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A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奥氮平血药浓度监测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1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C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E55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4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2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E2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9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8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苯妥英钠血药浓度监测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DD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9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57C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21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6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D9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6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丙戊酸血药浓度监测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2B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AD2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84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38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EB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7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地高辛血药浓度监测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40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C25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955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F9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42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8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环孢素A血药浓度监测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F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2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B9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6AA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BF9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21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卡马西平血药浓度监测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EF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9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C1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402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0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E3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4B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6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0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E3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46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90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F5A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B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1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雷帕霉素血药浓度监测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E2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7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C61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60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E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1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6E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E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CF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BD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F6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E4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A78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A5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6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E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利培酮血药浓度监测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E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6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4C6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1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39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08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A4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E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F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E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11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E4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74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F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3A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D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9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C2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E92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15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9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6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0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高胆红素血症患病风险预测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F7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9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0B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FB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B6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3F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6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骨质疏松风险评估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F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58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E0D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09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01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D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静脉血栓风险二项评估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1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1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489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02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D9C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89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4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0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55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9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FC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5F5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9BA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6A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先兆性子痫，复发性流产高危风险预测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68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3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B37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7C4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DCE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1B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7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D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叶酸代谢相关基评估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2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4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≤5个自然日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29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FB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E6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4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8E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BE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0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75D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F03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EF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D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3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988A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葡萄胎成因分析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9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9C21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5-7个工作日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5C1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63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22C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1C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0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C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外周血染色体计数及核型分析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6D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F0D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≤7个自然日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96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BF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A70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A4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5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29E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2E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F67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≤10个工作日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EA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22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521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B1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D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22F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遗传性疾病染色体芯片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23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625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10-12个工作日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428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88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97D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29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B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染色体基因芯片CMA(optima)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2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C2B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≤15个工作日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63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C4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739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CA36101">
      <w:pPr>
        <w:pStyle w:val="2"/>
        <w:rPr>
          <w:rFonts w:hint="eastAsia"/>
          <w:lang w:val="en-US" w:eastAsia="zh-CN"/>
        </w:rPr>
      </w:pPr>
    </w:p>
    <w:p w14:paraId="3914CC9A">
      <w:pPr>
        <w:pStyle w:val="3"/>
        <w:bidi w:val="0"/>
        <w:rPr>
          <w:rFonts w:hint="eastAsia"/>
          <w:lang w:val="en-US" w:eastAsia="zh-CN"/>
        </w:rPr>
      </w:pPr>
      <w:bookmarkStart w:id="7" w:name="_Toc2996"/>
      <w:r>
        <w:rPr>
          <w:rFonts w:hint="eastAsia"/>
          <w:lang w:val="en-US" w:eastAsia="zh-CN"/>
        </w:rPr>
        <w:t>服务方案</w:t>
      </w:r>
      <w:bookmarkEnd w:id="6"/>
      <w:bookmarkEnd w:id="7"/>
    </w:p>
    <w:tbl>
      <w:tblPr>
        <w:tblStyle w:val="1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12"/>
        <w:gridCol w:w="5825"/>
      </w:tblGrid>
      <w:tr w14:paraId="29FD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75A1F916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8" w:name="_Toc1566"/>
            <w:bookmarkStart w:id="9" w:name="_Toc1099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 w14:paraId="48ED525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25" w:type="dxa"/>
            <w:vAlign w:val="center"/>
          </w:tcPr>
          <w:p w14:paraId="353F73E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3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7DCE7ECC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  <w:vAlign w:val="center"/>
          </w:tcPr>
          <w:p w14:paraId="5B4ACCB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应急服务</w:t>
            </w:r>
          </w:p>
        </w:tc>
        <w:tc>
          <w:tcPr>
            <w:tcW w:w="5825" w:type="dxa"/>
            <w:vAlign w:val="center"/>
          </w:tcPr>
          <w:p w14:paraId="7972F73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EA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7FA025A8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Align w:val="center"/>
          </w:tcPr>
          <w:p w14:paraId="33366EA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5825" w:type="dxa"/>
            <w:vAlign w:val="center"/>
          </w:tcPr>
          <w:p w14:paraId="6B7E717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6B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79890E87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2" w:type="dxa"/>
            <w:vAlign w:val="center"/>
          </w:tcPr>
          <w:p w14:paraId="2041E6B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培训服务承诺</w:t>
            </w:r>
          </w:p>
        </w:tc>
        <w:tc>
          <w:tcPr>
            <w:tcW w:w="5825" w:type="dxa"/>
            <w:vAlign w:val="center"/>
          </w:tcPr>
          <w:p w14:paraId="7019008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C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4CF8A094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2" w:type="dxa"/>
            <w:vAlign w:val="center"/>
          </w:tcPr>
          <w:p w14:paraId="4CDC205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其他承诺</w:t>
            </w:r>
          </w:p>
        </w:tc>
        <w:tc>
          <w:tcPr>
            <w:tcW w:w="5825" w:type="dxa"/>
            <w:vAlign w:val="center"/>
          </w:tcPr>
          <w:p w14:paraId="1D6DE83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03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 w14:paraId="79554F0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 w14:paraId="057BB942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5825" w:type="dxa"/>
            <w:vAlign w:val="center"/>
          </w:tcPr>
          <w:p w14:paraId="3301F98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6F02A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8"/>
    <w:bookmarkEnd w:id="9"/>
    <w:p w14:paraId="158E1137">
      <w:pPr>
        <w:rPr>
          <w:rFonts w:hint="eastAsia"/>
          <w:lang w:val="en-US" w:eastAsia="zh-CN"/>
        </w:rPr>
      </w:pPr>
      <w:bookmarkStart w:id="10" w:name="_Toc133103949"/>
      <w:r>
        <w:rPr>
          <w:rFonts w:hint="eastAsia"/>
          <w:lang w:val="en-US" w:eastAsia="zh-CN"/>
        </w:rPr>
        <w:br w:type="page"/>
      </w:r>
    </w:p>
    <w:p w14:paraId="29E2C8CE">
      <w:pPr>
        <w:pStyle w:val="3"/>
        <w:bidi w:val="0"/>
        <w:rPr>
          <w:rFonts w:hint="eastAsia"/>
          <w:lang w:val="en-US" w:eastAsia="zh-CN"/>
        </w:rPr>
      </w:pPr>
      <w:bookmarkStart w:id="11" w:name="_Toc11284"/>
      <w:r>
        <w:rPr>
          <w:rFonts w:hint="eastAsia"/>
          <w:lang w:val="en-US" w:eastAsia="zh-CN"/>
        </w:rPr>
        <w:t>近一年同类项目业绩</w:t>
      </w:r>
      <w:bookmarkEnd w:id="10"/>
      <w:r>
        <w:rPr>
          <w:rFonts w:hint="eastAsia"/>
          <w:lang w:val="en-US" w:eastAsia="zh-CN"/>
        </w:rPr>
        <w:t>（后附成交合同附件关键页）</w:t>
      </w:r>
      <w:bookmarkEnd w:id="11"/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07"/>
        <w:gridCol w:w="1569"/>
        <w:gridCol w:w="1479"/>
        <w:gridCol w:w="1397"/>
        <w:gridCol w:w="1304"/>
      </w:tblGrid>
      <w:tr w14:paraId="006F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3C50BAF7"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9" w:type="pct"/>
            <w:vAlign w:val="center"/>
          </w:tcPr>
          <w:p w14:paraId="774D7E2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21" w:type="pct"/>
            <w:vAlign w:val="center"/>
          </w:tcPr>
          <w:p w14:paraId="37846B86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868" w:type="pct"/>
            <w:vAlign w:val="center"/>
          </w:tcPr>
          <w:p w14:paraId="36B864F5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项目预算</w:t>
            </w:r>
          </w:p>
        </w:tc>
        <w:tc>
          <w:tcPr>
            <w:tcW w:w="820" w:type="pct"/>
            <w:vAlign w:val="center"/>
          </w:tcPr>
          <w:p w14:paraId="20E73537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中标价</w:t>
            </w:r>
          </w:p>
        </w:tc>
        <w:tc>
          <w:tcPr>
            <w:tcW w:w="765" w:type="pct"/>
            <w:vAlign w:val="center"/>
          </w:tcPr>
          <w:p w14:paraId="3F39896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公示时间</w:t>
            </w:r>
          </w:p>
        </w:tc>
      </w:tr>
      <w:tr w14:paraId="0E56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0D67B34E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 w14:paraId="042D1F63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 w14:paraId="0F74CBDB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5426C34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 w14:paraId="69C1D56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5D980BB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49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61C8BFE2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 w14:paraId="4D54351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 w14:paraId="6563A13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2D84F36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 w14:paraId="08B4A509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2E6A502D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C6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0A05C93A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 w14:paraId="7040897C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 w14:paraId="26961FF3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205358B6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 w14:paraId="3583C686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350A7AC1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9F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217235B2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 w14:paraId="2F86F216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 w14:paraId="5B8D652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5CD82908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 w14:paraId="76AEC89D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3EA2627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BEE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pct"/>
            <w:vAlign w:val="center"/>
          </w:tcPr>
          <w:p w14:paraId="7750009B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9" w:type="pct"/>
            <w:vAlign w:val="center"/>
          </w:tcPr>
          <w:p w14:paraId="1CF28E71"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21" w:type="pct"/>
            <w:vAlign w:val="center"/>
          </w:tcPr>
          <w:p w14:paraId="1089AE8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1CB7CA2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 w14:paraId="60406E80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67BBC49F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73359C39">
      <w:pPr>
        <w:rPr>
          <w:rFonts w:hint="eastAsia"/>
          <w:lang w:val="en-US" w:eastAsia="zh-CN"/>
        </w:rPr>
      </w:pPr>
    </w:p>
    <w:p w14:paraId="06F0F9E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注：请提供不少于三份历史成交项目，如中标价为下浮率/折扣率，请一并写明。</w:t>
      </w:r>
    </w:p>
    <w:p w14:paraId="4E7E134C"/>
    <w:p w14:paraId="1C64FAD5"/>
    <w:sectPr>
      <w:footerReference r:id="rId6" w:type="default"/>
      <w:pgSz w:w="11910" w:h="16840"/>
      <w:pgMar w:top="1431" w:right="1803" w:bottom="1429" w:left="1803" w:header="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DC93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1A03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1A03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467A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3A2D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53A2D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3A0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EBA0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EBA0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861AE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8C239BB"/>
    <w:multiLevelType w:val="multilevel"/>
    <w:tmpl w:val="08C239BB"/>
    <w:lvl w:ilvl="0" w:tentative="0">
      <w:start w:val="1"/>
      <w:numFmt w:val="chineseCountingThousand"/>
      <w:pStyle w:val="4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OGJmZTViYzZlNzczMjQ4NTlkMTFjZDI0NTAwODU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EB30F3"/>
    <w:rsid w:val="093920B1"/>
    <w:rsid w:val="0AB67731"/>
    <w:rsid w:val="0B704E0D"/>
    <w:rsid w:val="0CD345CA"/>
    <w:rsid w:val="0E3E3CC5"/>
    <w:rsid w:val="0E6B25E0"/>
    <w:rsid w:val="0EE505E5"/>
    <w:rsid w:val="0F313EDE"/>
    <w:rsid w:val="0F346E76"/>
    <w:rsid w:val="108E71AB"/>
    <w:rsid w:val="10FF5D0B"/>
    <w:rsid w:val="13A96027"/>
    <w:rsid w:val="15AA32AC"/>
    <w:rsid w:val="15F035A2"/>
    <w:rsid w:val="16E318AE"/>
    <w:rsid w:val="199A216E"/>
    <w:rsid w:val="1C580648"/>
    <w:rsid w:val="1D631DC4"/>
    <w:rsid w:val="1DFF3A8A"/>
    <w:rsid w:val="24166CB2"/>
    <w:rsid w:val="25875AFA"/>
    <w:rsid w:val="26E0111F"/>
    <w:rsid w:val="2951120E"/>
    <w:rsid w:val="29E94DD9"/>
    <w:rsid w:val="2A2D713F"/>
    <w:rsid w:val="2AD64894"/>
    <w:rsid w:val="2C8903AA"/>
    <w:rsid w:val="2DB87198"/>
    <w:rsid w:val="2FDE6C5E"/>
    <w:rsid w:val="319121DA"/>
    <w:rsid w:val="31F431A8"/>
    <w:rsid w:val="34496D9C"/>
    <w:rsid w:val="34E50E91"/>
    <w:rsid w:val="38910D12"/>
    <w:rsid w:val="38CA4224"/>
    <w:rsid w:val="391D7808"/>
    <w:rsid w:val="39564831"/>
    <w:rsid w:val="398878AB"/>
    <w:rsid w:val="3AB24F6F"/>
    <w:rsid w:val="3B3F2CA7"/>
    <w:rsid w:val="3D807E30"/>
    <w:rsid w:val="41605725"/>
    <w:rsid w:val="42407FFD"/>
    <w:rsid w:val="434B7D0F"/>
    <w:rsid w:val="44380293"/>
    <w:rsid w:val="44625310"/>
    <w:rsid w:val="44894F93"/>
    <w:rsid w:val="44FC5765"/>
    <w:rsid w:val="497E36BA"/>
    <w:rsid w:val="4B5069ED"/>
    <w:rsid w:val="4BC437E9"/>
    <w:rsid w:val="5005420D"/>
    <w:rsid w:val="50F11C80"/>
    <w:rsid w:val="52A33962"/>
    <w:rsid w:val="53736B57"/>
    <w:rsid w:val="545B317C"/>
    <w:rsid w:val="59892411"/>
    <w:rsid w:val="5B172EA1"/>
    <w:rsid w:val="5BB0266F"/>
    <w:rsid w:val="5D5A04B0"/>
    <w:rsid w:val="5F88085E"/>
    <w:rsid w:val="62866D50"/>
    <w:rsid w:val="659770B8"/>
    <w:rsid w:val="672A5D0A"/>
    <w:rsid w:val="674D6646"/>
    <w:rsid w:val="694A317D"/>
    <w:rsid w:val="6BC2493D"/>
    <w:rsid w:val="6D4A4A10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Arial"/>
      <w:snapToGrid w:val="0"/>
      <w:color w:val="000000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仿宋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ind w:left="420"/>
      <w:outlineLvl w:val="1"/>
    </w:pPr>
    <w:rPr>
      <w:rFonts w:ascii="Arial" w:hAnsi="Arial" w:eastAsia="仿宋"/>
      <w:b/>
      <w:bCs/>
      <w:sz w:val="28"/>
      <w:szCs w:val="32"/>
    </w:rPr>
  </w:style>
  <w:style w:type="paragraph" w:styleId="5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397</Words>
  <Characters>402</Characters>
  <Lines>19</Lines>
  <Paragraphs>5</Paragraphs>
  <TotalTime>11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花生酥糖</cp:lastModifiedBy>
  <dcterms:modified xsi:type="dcterms:W3CDTF">2025-08-04T01:24:39Z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2052-12.1.0.21915</vt:lpwstr>
  </property>
  <property fmtid="{D5CDD505-2E9C-101B-9397-08002B2CF9AE}" pid="6" name="ICV">
    <vt:lpwstr>9A8B18771933449DA3FC4F6D5A840CC1_13</vt:lpwstr>
  </property>
  <property fmtid="{D5CDD505-2E9C-101B-9397-08002B2CF9AE}" pid="7" name="KSOTemplateDocerSaveRecord">
    <vt:lpwstr>eyJoZGlkIjoiN2RlYjU2NzcxOWE4ZjdiZjhiOTQwNDk1YzE3Nzc5YzQiLCJ1c2VySWQiOiIyNzQ4Mzk3OTAifQ==</vt:lpwstr>
  </property>
</Properties>
</file>