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17EA5">
      <w:pPr>
        <w:spacing w:before="240" w:after="240" w:line="480" w:lineRule="auto"/>
        <w:ind w:left="-210" w:leftChars="-100" w:right="-210" w:rightChars="-100"/>
        <w:jc w:val="center"/>
        <w:rPr>
          <w:rFonts w:ascii="黑体" w:hAnsi="黑体" w:eastAsia="黑体" w:cs="Times New Roman"/>
          <w:b/>
          <w:sz w:val="36"/>
          <w:szCs w:val="36"/>
        </w:rPr>
      </w:pPr>
      <w:r>
        <w:rPr>
          <w:rFonts w:hint="eastAsia" w:ascii="黑体" w:hAnsi="黑体" w:eastAsia="黑体" w:cs="Times New Roman"/>
          <w:b/>
          <w:bCs/>
          <w:sz w:val="36"/>
          <w:szCs w:val="36"/>
        </w:rPr>
        <w:t>茂名市电白区妇幼保健院</w:t>
      </w:r>
      <w:r>
        <w:rPr>
          <w:rFonts w:hint="eastAsia" w:ascii="黑体" w:hAnsi="黑体" w:eastAsia="黑体" w:cs="Times New Roman"/>
          <w:b/>
          <w:bCs/>
          <w:sz w:val="36"/>
          <w:szCs w:val="36"/>
          <w:lang w:val="en-US" w:eastAsia="zh-CN"/>
        </w:rPr>
        <w:t>DIP管理平台</w:t>
      </w:r>
      <w:r>
        <w:rPr>
          <w:rFonts w:hint="eastAsia" w:ascii="黑体" w:hAnsi="黑体" w:eastAsia="黑体" w:cs="Times New Roman"/>
          <w:b/>
          <w:bCs/>
          <w:sz w:val="36"/>
          <w:szCs w:val="36"/>
        </w:rPr>
        <w:t>项目</w:t>
      </w:r>
      <w:r>
        <w:rPr>
          <w:rFonts w:hint="eastAsia" w:ascii="黑体" w:hAnsi="黑体" w:eastAsia="黑体" w:cs="Times New Roman"/>
          <w:b/>
          <w:sz w:val="36"/>
          <w:szCs w:val="36"/>
        </w:rPr>
        <w:t>需求清单</w:t>
      </w:r>
    </w:p>
    <w:tbl>
      <w:tblPr>
        <w:tblStyle w:val="5"/>
        <w:tblpPr w:leftFromText="180" w:rightFromText="180" w:vertAnchor="text" w:horzAnchor="page" w:tblpXSpec="center" w:tblpY="416"/>
        <w:tblOverlap w:val="never"/>
        <w:tblW w:w="53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093"/>
        <w:gridCol w:w="2740"/>
        <w:gridCol w:w="4952"/>
      </w:tblGrid>
      <w:tr w14:paraId="543F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216" w:type="pct"/>
            <w:tcBorders>
              <w:top w:val="single" w:color="000000" w:themeColor="dark1" w:sz="6" w:space="0"/>
              <w:left w:val="single" w:color="000000" w:themeColor="dark1" w:sz="6" w:space="0"/>
              <w:bottom w:val="single" w:color="999999" w:themeColor="dark1" w:themeTint="66" w:sz="6" w:space="0"/>
              <w:right w:val="single" w:color="999999" w:themeColor="dark1" w:themeTint="66" w:sz="6" w:space="0"/>
              <w:tl2br w:val="nil"/>
              <w:tr2bl w:val="nil"/>
            </w:tcBorders>
            <w:shd w:val="clear" w:color="000000" w:fill="FFFFFF"/>
            <w:vAlign w:val="center"/>
          </w:tcPr>
          <w:p w14:paraId="71177E97">
            <w:pPr>
              <w:keepNext w:val="0"/>
              <w:keepLines w:val="0"/>
              <w:pageBreakBefore w:val="0"/>
              <w:widowControl/>
              <w:kinsoku w:val="0"/>
              <w:wordWrap/>
              <w:overflowPunct/>
              <w:topLinePunct w:val="0"/>
              <w:autoSpaceDE w:val="0"/>
              <w:autoSpaceDN w:val="0"/>
              <w:bidi w:val="0"/>
              <w:adjustRightInd w:val="0"/>
              <w:snapToGrid w:val="0"/>
              <w:spacing w:line="240" w:lineRule="atLeast"/>
              <w:ind w:firstLine="0" w:firstLineChars="0"/>
              <w:jc w:val="center"/>
              <w:textAlignment w:val="baseline"/>
              <w:rPr>
                <w:rFonts w:hint="eastAsia" w:cs="宋体"/>
                <w:b/>
                <w:bCs/>
                <w:i w:val="0"/>
                <w:color w:val="000000" w:themeColor="dark1"/>
                <w:kern w:val="0"/>
                <w:sz w:val="22"/>
                <w:szCs w:val="22"/>
                <w:lang w:val="en-US" w:eastAsia="zh-CN"/>
                <w14:textFill>
                  <w14:solidFill>
                    <w14:schemeClr w14:val="dk1"/>
                  </w14:solidFill>
                </w14:textFill>
              </w:rPr>
            </w:pPr>
            <w:r>
              <w:rPr>
                <w:rFonts w:hint="eastAsia" w:cs="宋体"/>
                <w:b/>
                <w:bCs/>
                <w:i w:val="0"/>
                <w:color w:val="000000" w:themeColor="dark1"/>
                <w:kern w:val="0"/>
                <w:sz w:val="22"/>
                <w:szCs w:val="22"/>
                <w:lang w:val="en-US" w:eastAsia="zh-CN"/>
                <w14:textFill>
                  <w14:solidFill>
                    <w14:schemeClr w14:val="dk1"/>
                  </w14:solidFill>
                </w14:textFill>
              </w:rPr>
              <w:t>序号</w:t>
            </w:r>
          </w:p>
        </w:tc>
        <w:tc>
          <w:tcPr>
            <w:tcW w:w="595" w:type="pct"/>
            <w:tcBorders>
              <w:top w:val="single" w:color="000000" w:themeColor="dark1" w:sz="6" w:space="0"/>
              <w:left w:val="single" w:color="999999" w:themeColor="dark1" w:themeTint="66" w:sz="6" w:space="0"/>
              <w:bottom w:val="single" w:color="999999" w:themeColor="dark1" w:themeTint="66" w:sz="6" w:space="0"/>
              <w:right w:val="single" w:color="999999" w:themeColor="dark1" w:themeTint="66" w:sz="6" w:space="0"/>
              <w:tl2br w:val="nil"/>
              <w:tr2bl w:val="nil"/>
            </w:tcBorders>
            <w:shd w:val="clear" w:color="000000" w:fill="FFFFFF"/>
            <w:vAlign w:val="center"/>
          </w:tcPr>
          <w:p w14:paraId="618F515A">
            <w:pPr>
              <w:keepNext w:val="0"/>
              <w:keepLines w:val="0"/>
              <w:pageBreakBefore w:val="0"/>
              <w:widowControl/>
              <w:kinsoku w:val="0"/>
              <w:wordWrap/>
              <w:overflowPunct/>
              <w:topLinePunct w:val="0"/>
              <w:autoSpaceDE w:val="0"/>
              <w:autoSpaceDN w:val="0"/>
              <w:bidi w:val="0"/>
              <w:adjustRightInd w:val="0"/>
              <w:snapToGrid w:val="0"/>
              <w:spacing w:line="240" w:lineRule="atLeast"/>
              <w:ind w:firstLine="0" w:firstLineChars="0"/>
              <w:jc w:val="center"/>
              <w:textAlignment w:val="baseline"/>
              <w:rPr>
                <w:rFonts w:hint="eastAsia" w:cs="宋体"/>
                <w:b/>
                <w:bCs/>
                <w:i w:val="0"/>
                <w:color w:val="000000" w:themeColor="dark1"/>
                <w:kern w:val="0"/>
                <w:sz w:val="22"/>
                <w:szCs w:val="22"/>
                <w:lang w:val="en-US" w:eastAsia="zh-CN"/>
                <w14:textFill>
                  <w14:solidFill>
                    <w14:schemeClr w14:val="dk1"/>
                  </w14:solidFill>
                </w14:textFill>
              </w:rPr>
            </w:pPr>
            <w:r>
              <w:rPr>
                <w:rFonts w:hint="eastAsia" w:cs="宋体"/>
                <w:b/>
                <w:bCs/>
                <w:i w:val="0"/>
                <w:color w:val="000000" w:themeColor="dark1"/>
                <w:kern w:val="0"/>
                <w:sz w:val="22"/>
                <w:szCs w:val="22"/>
                <w:lang w:val="en-US" w:eastAsia="zh-CN"/>
                <w14:textFill>
                  <w14:solidFill>
                    <w14:schemeClr w14:val="dk1"/>
                  </w14:solidFill>
                </w14:textFill>
              </w:rPr>
              <w:t>平台功能</w:t>
            </w:r>
          </w:p>
        </w:tc>
        <w:tc>
          <w:tcPr>
            <w:tcW w:w="1491" w:type="pct"/>
            <w:tcBorders>
              <w:top w:val="single" w:color="000000" w:themeColor="dark1" w:sz="6" w:space="0"/>
              <w:left w:val="single" w:color="999999" w:themeColor="dark1" w:themeTint="66" w:sz="6" w:space="0"/>
              <w:bottom w:val="single" w:color="999999" w:themeColor="dark1" w:themeTint="66" w:sz="6" w:space="0"/>
              <w:right w:val="single" w:color="999999" w:themeColor="dark1" w:themeTint="66" w:sz="6" w:space="0"/>
              <w:tl2br w:val="nil"/>
              <w:tr2bl w:val="nil"/>
            </w:tcBorders>
            <w:shd w:val="clear" w:color="000000" w:fill="FFFFFF"/>
            <w:vAlign w:val="center"/>
          </w:tcPr>
          <w:p w14:paraId="56D2D0A1">
            <w:pPr>
              <w:keepNext w:val="0"/>
              <w:keepLines w:val="0"/>
              <w:pageBreakBefore w:val="0"/>
              <w:widowControl/>
              <w:kinsoku w:val="0"/>
              <w:wordWrap/>
              <w:overflowPunct/>
              <w:topLinePunct w:val="0"/>
              <w:autoSpaceDE w:val="0"/>
              <w:autoSpaceDN w:val="0"/>
              <w:bidi w:val="0"/>
              <w:adjustRightInd w:val="0"/>
              <w:snapToGrid w:val="0"/>
              <w:spacing w:line="240" w:lineRule="atLeast"/>
              <w:ind w:firstLine="0" w:firstLineChars="0"/>
              <w:jc w:val="center"/>
              <w:textAlignment w:val="baseline"/>
              <w:rPr>
                <w:rFonts w:hint="eastAsia" w:cs="宋体"/>
                <w:b/>
                <w:bCs/>
                <w:i w:val="0"/>
                <w:color w:val="000000" w:themeColor="dark1"/>
                <w:kern w:val="0"/>
                <w:sz w:val="22"/>
                <w:szCs w:val="22"/>
                <w:lang w:val="en-US" w:eastAsia="zh-CN"/>
                <w14:textFill>
                  <w14:solidFill>
                    <w14:schemeClr w14:val="dk1"/>
                  </w14:solidFill>
                </w14:textFill>
              </w:rPr>
            </w:pPr>
            <w:r>
              <w:rPr>
                <w:rFonts w:hint="eastAsia" w:cs="宋体"/>
                <w:b/>
                <w:bCs/>
                <w:i w:val="0"/>
                <w:color w:val="000000" w:themeColor="dark1"/>
                <w:kern w:val="0"/>
                <w:sz w:val="22"/>
                <w:szCs w:val="22"/>
                <w:lang w:val="en-US" w:eastAsia="zh-CN"/>
                <w14:textFill>
                  <w14:solidFill>
                    <w14:schemeClr w14:val="dk1"/>
                  </w14:solidFill>
                </w14:textFill>
              </w:rPr>
              <w:t>功能模块</w:t>
            </w:r>
          </w:p>
        </w:tc>
        <w:tc>
          <w:tcPr>
            <w:tcW w:w="2696" w:type="pct"/>
            <w:tcBorders>
              <w:top w:val="single" w:color="000000" w:themeColor="dark1" w:sz="6" w:space="0"/>
              <w:left w:val="single" w:color="999999" w:themeColor="dark1" w:themeTint="66" w:sz="6" w:space="0"/>
              <w:bottom w:val="single" w:color="999999" w:themeColor="dark1" w:themeTint="66" w:sz="6" w:space="0"/>
              <w:right w:val="single" w:color="000000" w:themeColor="dark1" w:sz="6" w:space="0"/>
              <w:tl2br w:val="nil"/>
              <w:tr2bl w:val="nil"/>
            </w:tcBorders>
            <w:shd w:val="clear" w:color="000000" w:fill="FFFFFF"/>
            <w:vAlign w:val="center"/>
          </w:tcPr>
          <w:p w14:paraId="47173982">
            <w:pPr>
              <w:keepNext w:val="0"/>
              <w:keepLines w:val="0"/>
              <w:pageBreakBefore w:val="0"/>
              <w:widowControl/>
              <w:kinsoku w:val="0"/>
              <w:wordWrap/>
              <w:overflowPunct/>
              <w:topLinePunct w:val="0"/>
              <w:autoSpaceDE w:val="0"/>
              <w:autoSpaceDN w:val="0"/>
              <w:bidi w:val="0"/>
              <w:adjustRightInd w:val="0"/>
              <w:snapToGrid w:val="0"/>
              <w:spacing w:line="240" w:lineRule="atLeast"/>
              <w:ind w:firstLine="0" w:firstLineChars="0"/>
              <w:jc w:val="center"/>
              <w:textAlignment w:val="baseline"/>
              <w:rPr>
                <w:rFonts w:hint="default" w:cs="宋体"/>
                <w:b/>
                <w:bCs/>
                <w:i w:val="0"/>
                <w:color w:val="000000" w:themeColor="dark1"/>
                <w:kern w:val="0"/>
                <w:sz w:val="22"/>
                <w:szCs w:val="22"/>
                <w:lang w:val="en-US" w:eastAsia="zh-CN"/>
                <w14:textFill>
                  <w14:solidFill>
                    <w14:schemeClr w14:val="dk1"/>
                  </w14:solidFill>
                </w14:textFill>
              </w:rPr>
            </w:pPr>
            <w:r>
              <w:rPr>
                <w:rFonts w:hint="eastAsia" w:cs="宋体"/>
                <w:b/>
                <w:bCs/>
                <w:i w:val="0"/>
                <w:color w:val="000000" w:themeColor="dark1"/>
                <w:kern w:val="0"/>
                <w:sz w:val="22"/>
                <w:szCs w:val="22"/>
                <w:lang w:val="en-US" w:eastAsia="zh-CN"/>
                <w14:textFill>
                  <w14:solidFill>
                    <w14:schemeClr w14:val="dk1"/>
                  </w14:solidFill>
                </w14:textFill>
              </w:rPr>
              <w:t>功能描述</w:t>
            </w:r>
          </w:p>
        </w:tc>
      </w:tr>
      <w:tr w14:paraId="6FF6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6F633868">
            <w:pPr>
              <w:widowControl/>
              <w:numPr>
                <w:ilvl w:val="0"/>
                <w:numId w:val="1"/>
              </w:numPr>
              <w:spacing w:line="460" w:lineRule="exact"/>
              <w:ind w:left="0" w:leftChars="0" w:firstLine="0" w:firstLineChars="0"/>
              <w:jc w:val="center"/>
              <w:rPr>
                <w:rFonts w:hint="eastAsia" w:cs="宋体" w:eastAsiaTheme="minorEastAsia"/>
                <w:kern w:val="0"/>
                <w:sz w:val="21"/>
                <w:lang w:val="en-US" w:eastAsia="zh-CN"/>
              </w:rPr>
            </w:pPr>
          </w:p>
        </w:tc>
        <w:tc>
          <w:tcPr>
            <w:tcW w:w="595" w:type="pct"/>
            <w:tcBorders>
              <w:tl2br w:val="nil"/>
              <w:tr2bl w:val="nil"/>
            </w:tcBorders>
            <w:vAlign w:val="center"/>
          </w:tcPr>
          <w:p w14:paraId="53A9C85D">
            <w:pPr>
              <w:widowControl/>
              <w:spacing w:line="460" w:lineRule="exact"/>
              <w:ind w:firstLine="0" w:firstLineChars="0"/>
              <w:jc w:val="center"/>
              <w:rPr>
                <w:rFonts w:cs="宋体"/>
                <w:kern w:val="0"/>
                <w:sz w:val="21"/>
              </w:rPr>
            </w:pPr>
            <w:r>
              <w:rPr>
                <w:rFonts w:hint="eastAsia" w:cs="宋体"/>
                <w:kern w:val="0"/>
                <w:sz w:val="21"/>
              </w:rPr>
              <w:t>首页概览</w:t>
            </w:r>
          </w:p>
        </w:tc>
        <w:tc>
          <w:tcPr>
            <w:tcW w:w="1491" w:type="pct"/>
            <w:tcBorders>
              <w:tl2br w:val="nil"/>
              <w:tr2bl w:val="nil"/>
            </w:tcBorders>
            <w:vAlign w:val="center"/>
          </w:tcPr>
          <w:p w14:paraId="2E9C50E3">
            <w:pPr>
              <w:widowControl/>
              <w:spacing w:line="460" w:lineRule="exact"/>
              <w:ind w:firstLine="0" w:firstLineChars="0"/>
              <w:jc w:val="center"/>
              <w:rPr>
                <w:rFonts w:hint="eastAsia" w:cs="宋体"/>
                <w:kern w:val="0"/>
                <w:sz w:val="21"/>
              </w:rPr>
            </w:pPr>
            <w:r>
              <w:rPr>
                <w:rFonts w:hint="eastAsia" w:cs="宋体"/>
                <w:kern w:val="0"/>
                <w:sz w:val="21"/>
              </w:rPr>
              <w:t>/</w:t>
            </w:r>
          </w:p>
        </w:tc>
        <w:tc>
          <w:tcPr>
            <w:tcW w:w="2696" w:type="pct"/>
            <w:tcBorders>
              <w:tl2br w:val="nil"/>
              <w:tr2bl w:val="nil"/>
            </w:tcBorders>
            <w:vAlign w:val="center"/>
          </w:tcPr>
          <w:p w14:paraId="16F2961F">
            <w:pPr>
              <w:widowControl/>
              <w:spacing w:line="460" w:lineRule="exact"/>
              <w:ind w:firstLine="0" w:firstLineChars="0"/>
              <w:jc w:val="left"/>
              <w:rPr>
                <w:rFonts w:hint="default" w:cs="宋体" w:eastAsiaTheme="minorEastAsia"/>
                <w:kern w:val="0"/>
                <w:sz w:val="21"/>
                <w:lang w:val="en-US" w:eastAsia="zh-CN"/>
              </w:rPr>
            </w:pPr>
            <w:r>
              <w:rPr>
                <w:rFonts w:hint="eastAsia"/>
                <w:lang w:val="en-US" w:eastAsia="zh-CN"/>
              </w:rPr>
              <w:t>提供各类核心指数，可对比分析院内整体运营情况</w:t>
            </w:r>
          </w:p>
        </w:tc>
      </w:tr>
      <w:tr w14:paraId="20AF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36B02286">
            <w:pPr>
              <w:widowControl/>
              <w:numPr>
                <w:ilvl w:val="0"/>
                <w:numId w:val="1"/>
              </w:numPr>
              <w:spacing w:line="460" w:lineRule="exact"/>
              <w:ind w:left="0" w:leftChars="0" w:firstLine="0" w:firstLineChars="0"/>
              <w:jc w:val="center"/>
              <w:rPr>
                <w:rFonts w:hint="eastAsia" w:cs="宋体"/>
                <w:kern w:val="0"/>
                <w:sz w:val="21"/>
              </w:rPr>
            </w:pPr>
          </w:p>
        </w:tc>
        <w:tc>
          <w:tcPr>
            <w:tcW w:w="595" w:type="pct"/>
            <w:vMerge w:val="restart"/>
            <w:tcBorders>
              <w:tl2br w:val="nil"/>
              <w:tr2bl w:val="nil"/>
            </w:tcBorders>
            <w:vAlign w:val="center"/>
          </w:tcPr>
          <w:p w14:paraId="7291DC0A">
            <w:pPr>
              <w:widowControl/>
              <w:spacing w:line="460" w:lineRule="exact"/>
              <w:ind w:firstLine="0" w:firstLineChars="0"/>
              <w:jc w:val="center"/>
              <w:rPr>
                <w:rFonts w:cs="宋体"/>
                <w:kern w:val="0"/>
                <w:sz w:val="21"/>
              </w:rPr>
            </w:pPr>
            <w:r>
              <w:rPr>
                <w:rFonts w:hint="eastAsia" w:cs="宋体"/>
                <w:kern w:val="0"/>
                <w:sz w:val="21"/>
              </w:rPr>
              <w:t>审核规则知识库</w:t>
            </w:r>
          </w:p>
        </w:tc>
        <w:tc>
          <w:tcPr>
            <w:tcW w:w="1491" w:type="pct"/>
            <w:tcBorders>
              <w:tl2br w:val="nil"/>
              <w:tr2bl w:val="nil"/>
            </w:tcBorders>
            <w:vAlign w:val="center"/>
          </w:tcPr>
          <w:p w14:paraId="00896F03">
            <w:pPr>
              <w:widowControl/>
              <w:spacing w:line="460" w:lineRule="exact"/>
              <w:ind w:firstLine="0" w:firstLineChars="0"/>
              <w:jc w:val="center"/>
              <w:rPr>
                <w:rFonts w:hint="eastAsia" w:cs="宋体"/>
                <w:kern w:val="0"/>
                <w:sz w:val="21"/>
              </w:rPr>
            </w:pPr>
            <w:r>
              <w:rPr>
                <w:rFonts w:hint="eastAsia" w:cs="宋体"/>
                <w:kern w:val="0"/>
                <w:sz w:val="21"/>
              </w:rPr>
              <w:t>病案首页质控规则知识库</w:t>
            </w:r>
          </w:p>
        </w:tc>
        <w:tc>
          <w:tcPr>
            <w:tcW w:w="2696" w:type="pct"/>
            <w:tcBorders>
              <w:tl2br w:val="nil"/>
              <w:tr2bl w:val="nil"/>
            </w:tcBorders>
            <w:vAlign w:val="center"/>
          </w:tcPr>
          <w:p w14:paraId="359C62F8">
            <w:pPr>
              <w:jc w:val="left"/>
              <w:rPr>
                <w:rFonts w:hint="eastAsia"/>
              </w:rPr>
            </w:pPr>
            <w:r>
              <w:rPr>
                <w:rFonts w:hint="eastAsia"/>
              </w:rPr>
              <w:t>住院病案首页数据填写质量规范知识库</w:t>
            </w:r>
          </w:p>
        </w:tc>
      </w:tr>
      <w:tr w14:paraId="4CE2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39131E9E">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185E9443">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02704EDD">
            <w:pPr>
              <w:widowControl/>
              <w:spacing w:line="460" w:lineRule="exact"/>
              <w:ind w:firstLine="0" w:firstLineChars="0"/>
              <w:jc w:val="center"/>
              <w:rPr>
                <w:rFonts w:hint="eastAsia" w:cs="宋体"/>
                <w:kern w:val="0"/>
                <w:sz w:val="21"/>
              </w:rPr>
            </w:pPr>
            <w:r>
              <w:rPr>
                <w:rFonts w:hint="eastAsia" w:cs="宋体"/>
                <w:kern w:val="0"/>
                <w:sz w:val="21"/>
              </w:rPr>
              <w:t>医保结算清单质控知识库</w:t>
            </w:r>
          </w:p>
        </w:tc>
        <w:tc>
          <w:tcPr>
            <w:tcW w:w="2696" w:type="pct"/>
            <w:tcBorders>
              <w:tl2br w:val="nil"/>
              <w:tr2bl w:val="nil"/>
            </w:tcBorders>
            <w:vAlign w:val="center"/>
          </w:tcPr>
          <w:p w14:paraId="1890D1FB">
            <w:pPr>
              <w:jc w:val="left"/>
              <w:rPr>
                <w:rFonts w:hint="eastAsia"/>
              </w:rPr>
            </w:pPr>
            <w:r>
              <w:rPr>
                <w:rFonts w:hint="eastAsia"/>
              </w:rPr>
              <w:t>医疗保障基金结算清单填写规范知识库</w:t>
            </w:r>
          </w:p>
        </w:tc>
      </w:tr>
      <w:tr w14:paraId="688A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3F9EC2F7">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23E0AC10">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7E493913">
            <w:pPr>
              <w:widowControl/>
              <w:spacing w:line="460" w:lineRule="exact"/>
              <w:ind w:firstLine="0" w:firstLineChars="0"/>
              <w:jc w:val="center"/>
              <w:rPr>
                <w:rFonts w:hint="eastAsia" w:cs="宋体"/>
                <w:kern w:val="0"/>
                <w:sz w:val="21"/>
              </w:rPr>
            </w:pPr>
            <w:r>
              <w:rPr>
                <w:rFonts w:hint="eastAsia" w:cs="宋体"/>
                <w:kern w:val="0"/>
                <w:sz w:val="21"/>
              </w:rPr>
              <w:t>医保限制规则知识库</w:t>
            </w:r>
          </w:p>
        </w:tc>
        <w:tc>
          <w:tcPr>
            <w:tcW w:w="2696" w:type="pct"/>
            <w:tcBorders>
              <w:tl2br w:val="nil"/>
              <w:tr2bl w:val="nil"/>
            </w:tcBorders>
            <w:vAlign w:val="center"/>
          </w:tcPr>
          <w:p w14:paraId="318AE1A7">
            <w:pPr>
              <w:jc w:val="left"/>
              <w:rPr>
                <w:rFonts w:hint="eastAsia"/>
              </w:rPr>
            </w:pPr>
            <w:r>
              <w:rPr>
                <w:rFonts w:hint="eastAsia"/>
              </w:rPr>
              <w:t>医保用药限制规则知识库、医保物价限制规则知识库</w:t>
            </w:r>
          </w:p>
        </w:tc>
      </w:tr>
      <w:tr w14:paraId="1C7D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3E541387">
            <w:pPr>
              <w:widowControl/>
              <w:numPr>
                <w:ilvl w:val="0"/>
                <w:numId w:val="1"/>
              </w:numPr>
              <w:spacing w:line="460" w:lineRule="exact"/>
              <w:ind w:left="0" w:leftChars="0" w:firstLine="0" w:firstLineChars="0"/>
              <w:jc w:val="center"/>
              <w:rPr>
                <w:rFonts w:hint="eastAsia" w:cs="宋体"/>
                <w:kern w:val="0"/>
                <w:sz w:val="21"/>
              </w:rPr>
            </w:pPr>
          </w:p>
        </w:tc>
        <w:tc>
          <w:tcPr>
            <w:tcW w:w="595" w:type="pct"/>
            <w:vMerge w:val="restart"/>
            <w:tcBorders>
              <w:tl2br w:val="nil"/>
              <w:tr2bl w:val="nil"/>
            </w:tcBorders>
            <w:vAlign w:val="center"/>
          </w:tcPr>
          <w:p w14:paraId="467B26CD">
            <w:pPr>
              <w:widowControl/>
              <w:spacing w:line="460" w:lineRule="exact"/>
              <w:ind w:firstLine="0" w:firstLineChars="0"/>
              <w:jc w:val="center"/>
              <w:rPr>
                <w:rFonts w:cs="宋体"/>
                <w:kern w:val="0"/>
                <w:sz w:val="21"/>
              </w:rPr>
            </w:pPr>
            <w:r>
              <w:rPr>
                <w:rFonts w:hint="eastAsia" w:cs="宋体"/>
                <w:kern w:val="0"/>
                <w:sz w:val="21"/>
              </w:rPr>
              <w:t>DIP分组器</w:t>
            </w:r>
          </w:p>
        </w:tc>
        <w:tc>
          <w:tcPr>
            <w:tcW w:w="1491" w:type="pct"/>
            <w:tcBorders>
              <w:tl2br w:val="nil"/>
              <w:tr2bl w:val="nil"/>
            </w:tcBorders>
            <w:vAlign w:val="center"/>
          </w:tcPr>
          <w:p w14:paraId="4EE0A524">
            <w:pPr>
              <w:widowControl/>
              <w:spacing w:line="460" w:lineRule="exact"/>
              <w:ind w:firstLine="0" w:firstLineChars="0"/>
              <w:jc w:val="center"/>
              <w:rPr>
                <w:rFonts w:hint="eastAsia" w:cs="宋体"/>
                <w:kern w:val="0"/>
                <w:sz w:val="21"/>
              </w:rPr>
            </w:pPr>
            <w:r>
              <w:rPr>
                <w:rFonts w:hint="eastAsia" w:cs="宋体"/>
                <w:kern w:val="0"/>
                <w:sz w:val="21"/>
              </w:rPr>
              <w:t>本地目录库导入</w:t>
            </w:r>
          </w:p>
        </w:tc>
        <w:tc>
          <w:tcPr>
            <w:tcW w:w="2696" w:type="pct"/>
            <w:tcBorders>
              <w:tl2br w:val="nil"/>
              <w:tr2bl w:val="nil"/>
            </w:tcBorders>
            <w:vAlign w:val="center"/>
          </w:tcPr>
          <w:p w14:paraId="18C91893">
            <w:pPr>
              <w:jc w:val="left"/>
              <w:rPr>
                <w:rFonts w:hint="default"/>
                <w:lang w:val="en-US" w:eastAsia="zh-CN"/>
              </w:rPr>
            </w:pPr>
            <w:r>
              <w:rPr>
                <w:rFonts w:hint="eastAsia"/>
                <w:lang w:val="en-US" w:eastAsia="zh-CN"/>
              </w:rPr>
              <w:t>支持本地目录库导入</w:t>
            </w:r>
          </w:p>
        </w:tc>
      </w:tr>
      <w:tr w14:paraId="5028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43FD37D7">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1F5A0DCA">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0C619FDD">
            <w:pPr>
              <w:widowControl/>
              <w:spacing w:line="460" w:lineRule="exact"/>
              <w:ind w:firstLine="0" w:firstLineChars="0"/>
              <w:jc w:val="center"/>
              <w:rPr>
                <w:rFonts w:hint="eastAsia" w:cs="宋体"/>
                <w:kern w:val="0"/>
                <w:sz w:val="21"/>
              </w:rPr>
            </w:pPr>
            <w:r>
              <w:rPr>
                <w:rFonts w:hint="eastAsia" w:cs="宋体"/>
                <w:kern w:val="0"/>
                <w:sz w:val="21"/>
              </w:rPr>
              <w:t>DIP病种配置</w:t>
            </w:r>
          </w:p>
        </w:tc>
        <w:tc>
          <w:tcPr>
            <w:tcW w:w="2696" w:type="pct"/>
            <w:tcBorders>
              <w:tl2br w:val="nil"/>
              <w:tr2bl w:val="nil"/>
            </w:tcBorders>
            <w:vAlign w:val="center"/>
          </w:tcPr>
          <w:p w14:paraId="50CC5DAD">
            <w:pPr>
              <w:jc w:val="left"/>
              <w:rPr>
                <w:rFonts w:hint="default"/>
                <w:lang w:val="en-US" w:eastAsia="zh-CN"/>
              </w:rPr>
            </w:pPr>
            <w:r>
              <w:rPr>
                <w:rFonts w:hint="eastAsia"/>
                <w:lang w:val="en-US" w:eastAsia="zh-CN"/>
              </w:rPr>
              <w:t>支持本地DIP病种库进行配置</w:t>
            </w:r>
          </w:p>
        </w:tc>
      </w:tr>
      <w:tr w14:paraId="01F7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107F563A">
            <w:pPr>
              <w:widowControl/>
              <w:numPr>
                <w:ilvl w:val="0"/>
                <w:numId w:val="1"/>
              </w:numPr>
              <w:spacing w:line="460" w:lineRule="exact"/>
              <w:ind w:left="0" w:leftChars="0" w:firstLine="0" w:firstLineChars="0"/>
              <w:jc w:val="center"/>
              <w:rPr>
                <w:rFonts w:hint="eastAsia" w:cs="宋体"/>
                <w:kern w:val="0"/>
                <w:sz w:val="21"/>
              </w:rPr>
            </w:pPr>
          </w:p>
        </w:tc>
        <w:tc>
          <w:tcPr>
            <w:tcW w:w="595" w:type="pct"/>
            <w:vMerge w:val="restart"/>
            <w:tcBorders>
              <w:tl2br w:val="nil"/>
              <w:tr2bl w:val="nil"/>
            </w:tcBorders>
            <w:vAlign w:val="center"/>
          </w:tcPr>
          <w:p w14:paraId="4659E27C">
            <w:pPr>
              <w:widowControl/>
              <w:spacing w:line="460" w:lineRule="exact"/>
              <w:ind w:firstLine="0" w:firstLineChars="0"/>
              <w:jc w:val="center"/>
              <w:rPr>
                <w:rFonts w:cs="宋体"/>
                <w:kern w:val="0"/>
                <w:sz w:val="21"/>
              </w:rPr>
            </w:pPr>
            <w:r>
              <w:rPr>
                <w:rFonts w:hint="eastAsia" w:cs="宋体"/>
                <w:kern w:val="0"/>
                <w:sz w:val="21"/>
              </w:rPr>
              <w:t>数据质控</w:t>
            </w:r>
          </w:p>
        </w:tc>
        <w:tc>
          <w:tcPr>
            <w:tcW w:w="1491" w:type="pct"/>
            <w:tcBorders>
              <w:tl2br w:val="nil"/>
              <w:tr2bl w:val="nil"/>
            </w:tcBorders>
            <w:vAlign w:val="center"/>
          </w:tcPr>
          <w:p w14:paraId="53A1DCDC">
            <w:pPr>
              <w:widowControl/>
              <w:spacing w:line="460" w:lineRule="exact"/>
              <w:ind w:firstLine="0" w:firstLineChars="0"/>
              <w:jc w:val="center"/>
              <w:rPr>
                <w:rFonts w:hint="eastAsia" w:cs="宋体"/>
                <w:kern w:val="0"/>
                <w:sz w:val="21"/>
              </w:rPr>
            </w:pPr>
            <w:r>
              <w:rPr>
                <w:rFonts w:hint="eastAsia" w:cs="宋体"/>
                <w:kern w:val="0"/>
                <w:sz w:val="21"/>
              </w:rPr>
              <w:t>病案首页数据同步</w:t>
            </w:r>
          </w:p>
        </w:tc>
        <w:tc>
          <w:tcPr>
            <w:tcW w:w="2696" w:type="pct"/>
            <w:tcBorders>
              <w:tl2br w:val="nil"/>
              <w:tr2bl w:val="nil"/>
            </w:tcBorders>
            <w:vAlign w:val="center"/>
          </w:tcPr>
          <w:p w14:paraId="17E2EC3F">
            <w:pPr>
              <w:jc w:val="left"/>
              <w:rPr>
                <w:rFonts w:hint="eastAsia"/>
              </w:rPr>
            </w:pPr>
            <w:r>
              <w:rPr>
                <w:rFonts w:hint="eastAsia"/>
              </w:rPr>
              <w:t>系统定时从HIS端同步诊疗数据和病案首页数据。业务产生的数据采取增量定时同步</w:t>
            </w:r>
          </w:p>
        </w:tc>
      </w:tr>
      <w:tr w14:paraId="42D8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6" w:type="pct"/>
            <w:tcBorders>
              <w:tl2br w:val="nil"/>
              <w:tr2bl w:val="nil"/>
            </w:tcBorders>
            <w:vAlign w:val="center"/>
          </w:tcPr>
          <w:p w14:paraId="74AD588C">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6A203819">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5C0A508D">
            <w:pPr>
              <w:widowControl/>
              <w:spacing w:line="460" w:lineRule="exact"/>
              <w:ind w:firstLine="0" w:firstLineChars="0"/>
              <w:jc w:val="center"/>
              <w:rPr>
                <w:rFonts w:hint="eastAsia" w:cs="宋体"/>
                <w:kern w:val="0"/>
                <w:sz w:val="21"/>
              </w:rPr>
            </w:pPr>
            <w:r>
              <w:rPr>
                <w:rFonts w:hint="eastAsia" w:cs="宋体"/>
                <w:kern w:val="0"/>
                <w:sz w:val="21"/>
              </w:rPr>
              <w:t>医保结算清单智能转码</w:t>
            </w:r>
          </w:p>
        </w:tc>
        <w:tc>
          <w:tcPr>
            <w:tcW w:w="2696" w:type="pct"/>
            <w:tcBorders>
              <w:tl2br w:val="nil"/>
              <w:tr2bl w:val="nil"/>
            </w:tcBorders>
            <w:vAlign w:val="center"/>
          </w:tcPr>
          <w:p w14:paraId="24A85C89">
            <w:pPr>
              <w:jc w:val="left"/>
              <w:rPr>
                <w:rFonts w:hint="eastAsia"/>
              </w:rPr>
            </w:pPr>
            <w:r>
              <w:rPr>
                <w:rFonts w:hint="eastAsia"/>
              </w:rPr>
              <w:t>根据医院病案首页数据，支持自动将医院国临版ICD-10与ICD-9转换为医保版ICD-10与ICD-9，通过智能转码生成医保结算清单，并对医保结算清单进行质控</w:t>
            </w:r>
          </w:p>
        </w:tc>
      </w:tr>
      <w:tr w14:paraId="3764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6" w:type="pct"/>
            <w:tcBorders>
              <w:tl2br w:val="nil"/>
              <w:tr2bl w:val="nil"/>
            </w:tcBorders>
            <w:vAlign w:val="center"/>
          </w:tcPr>
          <w:p w14:paraId="35BC8254">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294C11C6">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23F1938C">
            <w:pPr>
              <w:widowControl/>
              <w:spacing w:line="460" w:lineRule="exact"/>
              <w:ind w:firstLine="0" w:firstLineChars="0"/>
              <w:jc w:val="center"/>
              <w:rPr>
                <w:rFonts w:hint="eastAsia" w:cs="宋体"/>
                <w:kern w:val="0"/>
                <w:sz w:val="21"/>
              </w:rPr>
            </w:pPr>
            <w:r>
              <w:rPr>
                <w:rFonts w:hint="eastAsia" w:cs="宋体"/>
                <w:kern w:val="0"/>
                <w:sz w:val="21"/>
              </w:rPr>
              <w:t>医保结算清单质控管理</w:t>
            </w:r>
          </w:p>
        </w:tc>
        <w:tc>
          <w:tcPr>
            <w:tcW w:w="2696" w:type="pct"/>
            <w:tcBorders>
              <w:tl2br w:val="nil"/>
              <w:tr2bl w:val="nil"/>
            </w:tcBorders>
            <w:vAlign w:val="center"/>
          </w:tcPr>
          <w:p w14:paraId="50F56A56">
            <w:pPr>
              <w:jc w:val="left"/>
              <w:rPr>
                <w:rFonts w:hint="eastAsia"/>
              </w:rPr>
            </w:pPr>
            <w:r>
              <w:rPr>
                <w:rFonts w:hint="eastAsia"/>
              </w:rPr>
              <w:t>在医保结算清单上传之前，对医保结算清单进行质量监控，通过调用医保结算清单质控知识库对医保结算清单进行实时检查；对于不符合医保结算清单书写规范或者上传要求的缺陷给予实时提醒</w:t>
            </w:r>
          </w:p>
        </w:tc>
      </w:tr>
      <w:tr w14:paraId="4484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6" w:type="pct"/>
            <w:tcBorders>
              <w:tl2br w:val="nil"/>
              <w:tr2bl w:val="nil"/>
            </w:tcBorders>
            <w:vAlign w:val="center"/>
          </w:tcPr>
          <w:p w14:paraId="3F3ECC16">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338BB789">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0620402D">
            <w:pPr>
              <w:widowControl/>
              <w:spacing w:line="460" w:lineRule="exact"/>
              <w:ind w:firstLine="0" w:firstLineChars="0"/>
              <w:jc w:val="center"/>
              <w:rPr>
                <w:rFonts w:hint="eastAsia" w:cs="宋体"/>
                <w:kern w:val="0"/>
                <w:sz w:val="21"/>
              </w:rPr>
            </w:pPr>
            <w:r>
              <w:rPr>
                <w:rFonts w:hint="eastAsia" w:cs="宋体"/>
                <w:kern w:val="0"/>
                <w:sz w:val="21"/>
              </w:rPr>
              <w:t>医保结算清单编辑管理</w:t>
            </w:r>
          </w:p>
        </w:tc>
        <w:tc>
          <w:tcPr>
            <w:tcW w:w="2696" w:type="pct"/>
            <w:tcBorders>
              <w:tl2br w:val="nil"/>
              <w:tr2bl w:val="nil"/>
            </w:tcBorders>
            <w:vAlign w:val="center"/>
          </w:tcPr>
          <w:p w14:paraId="53D108B3">
            <w:pPr>
              <w:jc w:val="left"/>
              <w:rPr>
                <w:rFonts w:hint="eastAsia"/>
              </w:rPr>
            </w:pPr>
            <w:r>
              <w:rPr>
                <w:rFonts w:hint="eastAsia"/>
              </w:rPr>
              <w:t>系统提供对医保结算清单的编辑功能。支持根据质控可疑违规信息提醒对医保结算清单的内容进行针对性的编辑调整，确保医保结算清单完全符合规范要求；完成编辑修改后，系统会自动调用医保结算清单质控服务再次质控，实现实时质控</w:t>
            </w:r>
          </w:p>
        </w:tc>
      </w:tr>
      <w:tr w14:paraId="76A1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6" w:type="pct"/>
            <w:tcBorders>
              <w:tl2br w:val="nil"/>
              <w:tr2bl w:val="nil"/>
            </w:tcBorders>
            <w:vAlign w:val="center"/>
          </w:tcPr>
          <w:p w14:paraId="1835FB59">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4999143A">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7C2C261F">
            <w:pPr>
              <w:widowControl/>
              <w:spacing w:line="460" w:lineRule="exact"/>
              <w:ind w:firstLine="0" w:firstLineChars="0"/>
              <w:jc w:val="center"/>
              <w:rPr>
                <w:rFonts w:hint="eastAsia" w:cs="宋体"/>
                <w:kern w:val="0"/>
                <w:sz w:val="21"/>
              </w:rPr>
            </w:pPr>
            <w:r>
              <w:rPr>
                <w:rFonts w:hint="eastAsia" w:cs="宋体"/>
                <w:kern w:val="0"/>
                <w:sz w:val="21"/>
              </w:rPr>
              <w:t>医保结算清单预入组管理</w:t>
            </w:r>
          </w:p>
        </w:tc>
        <w:tc>
          <w:tcPr>
            <w:tcW w:w="2696" w:type="pct"/>
            <w:tcBorders>
              <w:tl2br w:val="nil"/>
              <w:tr2bl w:val="nil"/>
            </w:tcBorders>
            <w:vAlign w:val="center"/>
          </w:tcPr>
          <w:p w14:paraId="6124EF6F">
            <w:pPr>
              <w:jc w:val="left"/>
              <w:rPr>
                <w:rFonts w:hint="eastAsia"/>
              </w:rPr>
            </w:pPr>
            <w:r>
              <w:rPr>
                <w:rFonts w:hint="eastAsia"/>
              </w:rPr>
              <w:t>调用DIP分组器，对全院医保结算清单提供预入组服务，基于医保结算清单主诊断、主要手术操作、其他诊断、其他手术操作等诊疗信息，测算当前医保结算清单预计能入的DIP组，并根据该病种历史费用情况测算盈亏额</w:t>
            </w:r>
          </w:p>
        </w:tc>
      </w:tr>
      <w:tr w14:paraId="3806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216" w:type="pct"/>
            <w:tcBorders>
              <w:tl2br w:val="nil"/>
              <w:tr2bl w:val="nil"/>
            </w:tcBorders>
            <w:vAlign w:val="center"/>
          </w:tcPr>
          <w:p w14:paraId="70E92248">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65AF5840">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5FF2916F">
            <w:pPr>
              <w:widowControl/>
              <w:spacing w:line="460" w:lineRule="exact"/>
              <w:ind w:firstLine="0" w:firstLineChars="0"/>
              <w:jc w:val="center"/>
              <w:rPr>
                <w:rFonts w:hint="eastAsia" w:cs="宋体"/>
                <w:kern w:val="0"/>
                <w:sz w:val="21"/>
              </w:rPr>
            </w:pPr>
            <w:r>
              <w:rPr>
                <w:rFonts w:hint="eastAsia" w:cs="宋体"/>
                <w:kern w:val="0"/>
                <w:sz w:val="21"/>
              </w:rPr>
              <w:t>医保结算清单数据上传</w:t>
            </w:r>
          </w:p>
        </w:tc>
        <w:tc>
          <w:tcPr>
            <w:tcW w:w="2696" w:type="pct"/>
            <w:tcBorders>
              <w:tl2br w:val="nil"/>
              <w:tr2bl w:val="nil"/>
            </w:tcBorders>
            <w:vAlign w:val="center"/>
          </w:tcPr>
          <w:p w14:paraId="20C88F93">
            <w:pPr>
              <w:jc w:val="left"/>
              <w:rPr>
                <w:rFonts w:hint="eastAsia"/>
              </w:rPr>
            </w:pPr>
            <w:r>
              <w:rPr>
                <w:rFonts w:hint="eastAsia"/>
              </w:rPr>
              <w:t>对接医保局医保结算清单数据上传规范，将通过质控的医保结算清单数据上传到医保中心，可实现个人上传、批量上传、按时间重传</w:t>
            </w:r>
          </w:p>
        </w:tc>
      </w:tr>
      <w:tr w14:paraId="6DCF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6" w:type="pct"/>
            <w:tcBorders>
              <w:tl2br w:val="nil"/>
              <w:tr2bl w:val="nil"/>
            </w:tcBorders>
            <w:vAlign w:val="center"/>
          </w:tcPr>
          <w:p w14:paraId="03B0709B">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21835E04">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51C9D1F3">
            <w:pPr>
              <w:widowControl/>
              <w:spacing w:line="460" w:lineRule="exact"/>
              <w:ind w:firstLine="0" w:firstLineChars="0"/>
              <w:jc w:val="center"/>
              <w:rPr>
                <w:rFonts w:hint="eastAsia" w:cs="宋体"/>
                <w:kern w:val="0"/>
                <w:sz w:val="21"/>
              </w:rPr>
            </w:pPr>
            <w:r>
              <w:rPr>
                <w:rFonts w:hint="eastAsia" w:cs="宋体"/>
                <w:kern w:val="0"/>
                <w:sz w:val="21"/>
              </w:rPr>
              <w:t>医保结算清单入组分析</w:t>
            </w:r>
          </w:p>
        </w:tc>
        <w:tc>
          <w:tcPr>
            <w:tcW w:w="2696" w:type="pct"/>
            <w:tcBorders>
              <w:tl2br w:val="nil"/>
              <w:tr2bl w:val="nil"/>
            </w:tcBorders>
            <w:vAlign w:val="center"/>
          </w:tcPr>
          <w:p w14:paraId="035CF63D">
            <w:pPr>
              <w:jc w:val="left"/>
              <w:rPr>
                <w:rFonts w:hint="eastAsia"/>
              </w:rPr>
            </w:pPr>
            <w:r>
              <w:rPr>
                <w:rFonts w:hint="eastAsia"/>
              </w:rPr>
              <w:t>系统提供医保结算清单入组分析，支持从全院、科室的维度来统计医保结算清单入组情况</w:t>
            </w:r>
          </w:p>
        </w:tc>
      </w:tr>
      <w:tr w14:paraId="4DEC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6" w:type="pct"/>
            <w:tcBorders>
              <w:tl2br w:val="nil"/>
              <w:tr2bl w:val="nil"/>
            </w:tcBorders>
            <w:vAlign w:val="center"/>
          </w:tcPr>
          <w:p w14:paraId="74FDAEE3">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0491A994">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73C43D88">
            <w:pPr>
              <w:widowControl/>
              <w:spacing w:line="460" w:lineRule="exact"/>
              <w:ind w:firstLine="0" w:firstLineChars="0"/>
              <w:jc w:val="center"/>
              <w:rPr>
                <w:rFonts w:hint="eastAsia" w:cs="宋体"/>
                <w:kern w:val="0"/>
                <w:sz w:val="21"/>
              </w:rPr>
            </w:pPr>
            <w:r>
              <w:rPr>
                <w:rFonts w:hint="eastAsia" w:cs="宋体"/>
                <w:kern w:val="0"/>
                <w:sz w:val="21"/>
              </w:rPr>
              <w:t>医保结算清单归档监测</w:t>
            </w:r>
          </w:p>
        </w:tc>
        <w:tc>
          <w:tcPr>
            <w:tcW w:w="2696" w:type="pct"/>
            <w:tcBorders>
              <w:tl2br w:val="nil"/>
              <w:tr2bl w:val="nil"/>
            </w:tcBorders>
            <w:vAlign w:val="center"/>
          </w:tcPr>
          <w:p w14:paraId="44FEA0A3">
            <w:pPr>
              <w:jc w:val="left"/>
              <w:rPr>
                <w:rFonts w:hint="eastAsia"/>
              </w:rPr>
            </w:pPr>
            <w:r>
              <w:rPr>
                <w:rFonts w:hint="eastAsia"/>
              </w:rPr>
              <w:t>系统提供医保结算清单归档监测，实时把控全院医保结算清单归档情况</w:t>
            </w:r>
          </w:p>
        </w:tc>
      </w:tr>
      <w:tr w14:paraId="3864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121AC0A9">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2FE48CE1">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2BFF9FF6">
            <w:pPr>
              <w:widowControl/>
              <w:spacing w:line="460" w:lineRule="exact"/>
              <w:ind w:firstLine="0" w:firstLineChars="0"/>
              <w:jc w:val="center"/>
              <w:rPr>
                <w:rFonts w:hint="eastAsia" w:cs="宋体"/>
                <w:kern w:val="0"/>
                <w:sz w:val="21"/>
              </w:rPr>
            </w:pPr>
            <w:r>
              <w:rPr>
                <w:rFonts w:hint="eastAsia" w:cs="宋体"/>
                <w:kern w:val="0"/>
                <w:sz w:val="21"/>
              </w:rPr>
              <w:t>病案首页质控结果统计</w:t>
            </w:r>
          </w:p>
        </w:tc>
        <w:tc>
          <w:tcPr>
            <w:tcW w:w="2696" w:type="pct"/>
            <w:tcBorders>
              <w:tl2br w:val="nil"/>
              <w:tr2bl w:val="nil"/>
            </w:tcBorders>
            <w:vAlign w:val="center"/>
          </w:tcPr>
          <w:p w14:paraId="42409734">
            <w:pPr>
              <w:jc w:val="left"/>
              <w:rPr>
                <w:rFonts w:hint="eastAsia"/>
              </w:rPr>
            </w:pPr>
            <w:r>
              <w:rPr>
                <w:rFonts w:hint="eastAsia"/>
              </w:rPr>
              <w:t>支持按照病案首页质控情况对全院病案首页质控通过、质控未通过、未进行质控情况进行分析；支持按科室、医生、患者等多维度分析病案首页质控情况，实时展现病案首页质控通过人数、质控未通过人数、未进行质控人数等信息；支持按病案首页质控情况对全院各科室、医生进行排名，并可查看病案首页详细质控信息</w:t>
            </w:r>
          </w:p>
        </w:tc>
      </w:tr>
      <w:tr w14:paraId="75C3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7CAB4DB3">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54CC67A5">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30D6E0C2">
            <w:pPr>
              <w:widowControl/>
              <w:spacing w:line="460" w:lineRule="exact"/>
              <w:ind w:firstLine="0" w:firstLineChars="0"/>
              <w:jc w:val="center"/>
              <w:rPr>
                <w:rFonts w:hint="eastAsia" w:cs="宋体"/>
                <w:kern w:val="0"/>
                <w:sz w:val="21"/>
              </w:rPr>
            </w:pPr>
            <w:r>
              <w:rPr>
                <w:rFonts w:hint="eastAsia" w:cs="宋体"/>
                <w:kern w:val="0"/>
                <w:sz w:val="21"/>
              </w:rPr>
              <w:t>病案首页质控违规分析</w:t>
            </w:r>
          </w:p>
        </w:tc>
        <w:tc>
          <w:tcPr>
            <w:tcW w:w="2696" w:type="pct"/>
            <w:tcBorders>
              <w:tl2br w:val="nil"/>
              <w:tr2bl w:val="nil"/>
            </w:tcBorders>
            <w:vAlign w:val="center"/>
          </w:tcPr>
          <w:p w14:paraId="16D5C208">
            <w:pPr>
              <w:jc w:val="left"/>
              <w:rPr>
                <w:rFonts w:hint="eastAsia"/>
              </w:rPr>
            </w:pPr>
            <w:r>
              <w:rPr>
                <w:rFonts w:hint="eastAsia"/>
              </w:rPr>
              <w:t>支持按照病案首页违规情况对全院病案首页违规总次数、违规科室数、违规医生数、违规病案数进行分析，支持同比、环比数据展现；支持按科室违规、医生违规、违规错误信息进行排名，支持钻取查看各科室、各医生病案首页质控违规详细信息；支持按质控规则统计病案首页违规次数、占比等信息，可查看具体的质控违规详情</w:t>
            </w:r>
          </w:p>
        </w:tc>
      </w:tr>
      <w:tr w14:paraId="42BA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16" w:type="pct"/>
            <w:tcBorders>
              <w:tl2br w:val="nil"/>
              <w:tr2bl w:val="nil"/>
            </w:tcBorders>
            <w:vAlign w:val="center"/>
          </w:tcPr>
          <w:p w14:paraId="63A90AF6">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18E0EEB1">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315C3210">
            <w:pPr>
              <w:widowControl/>
              <w:spacing w:line="460" w:lineRule="exact"/>
              <w:ind w:firstLine="0" w:firstLineChars="0"/>
              <w:jc w:val="center"/>
              <w:rPr>
                <w:rFonts w:hint="eastAsia" w:cs="宋体"/>
                <w:kern w:val="0"/>
                <w:sz w:val="21"/>
              </w:rPr>
            </w:pPr>
            <w:r>
              <w:rPr>
                <w:rFonts w:hint="eastAsia" w:cs="宋体"/>
                <w:kern w:val="0"/>
                <w:sz w:val="21"/>
              </w:rPr>
              <w:t>医保结算清单质控结果统计</w:t>
            </w:r>
          </w:p>
        </w:tc>
        <w:tc>
          <w:tcPr>
            <w:tcW w:w="2696" w:type="pct"/>
            <w:tcBorders>
              <w:tl2br w:val="nil"/>
              <w:tr2bl w:val="nil"/>
            </w:tcBorders>
            <w:vAlign w:val="center"/>
          </w:tcPr>
          <w:p w14:paraId="0696CCE1">
            <w:pPr>
              <w:jc w:val="left"/>
              <w:rPr>
                <w:rFonts w:hint="eastAsia"/>
              </w:rPr>
            </w:pPr>
            <w:r>
              <w:rPr>
                <w:rFonts w:hint="eastAsia"/>
              </w:rPr>
              <w:t>支持按照医保结算清单质控情况对全院医保结算清单质控通过、质控未通过、未进行质控情况进行分析；支持按科室、医生、患者多维度分析医保结算清单缺陷情况</w:t>
            </w:r>
          </w:p>
        </w:tc>
      </w:tr>
      <w:tr w14:paraId="2249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6" w:type="pct"/>
            <w:tcBorders>
              <w:tl2br w:val="nil"/>
              <w:tr2bl w:val="nil"/>
            </w:tcBorders>
            <w:vAlign w:val="center"/>
          </w:tcPr>
          <w:p w14:paraId="62D294A1">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07A6D161">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1C04250B">
            <w:pPr>
              <w:widowControl/>
              <w:spacing w:line="460" w:lineRule="exact"/>
              <w:ind w:firstLine="0" w:firstLineChars="0"/>
              <w:jc w:val="center"/>
              <w:rPr>
                <w:rFonts w:hint="eastAsia" w:cs="宋体"/>
                <w:kern w:val="0"/>
                <w:sz w:val="21"/>
              </w:rPr>
            </w:pPr>
            <w:r>
              <w:rPr>
                <w:rFonts w:hint="eastAsia" w:cs="宋体"/>
                <w:kern w:val="0"/>
                <w:sz w:val="21"/>
              </w:rPr>
              <w:t>医保结算清单质控违规分析</w:t>
            </w:r>
          </w:p>
        </w:tc>
        <w:tc>
          <w:tcPr>
            <w:tcW w:w="2696" w:type="pct"/>
            <w:tcBorders>
              <w:tl2br w:val="nil"/>
              <w:tr2bl w:val="nil"/>
            </w:tcBorders>
            <w:vAlign w:val="center"/>
          </w:tcPr>
          <w:p w14:paraId="55B531A7">
            <w:pPr>
              <w:jc w:val="left"/>
              <w:rPr>
                <w:rFonts w:hint="eastAsia"/>
              </w:rPr>
            </w:pPr>
            <w:r>
              <w:rPr>
                <w:rFonts w:hint="eastAsia"/>
              </w:rPr>
              <w:t>系统提供医保结算清单质控违规分析，支持从多个维度对全院医院结算清单质控违规情况进行统计分析</w:t>
            </w:r>
          </w:p>
        </w:tc>
      </w:tr>
      <w:tr w14:paraId="28D0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6" w:type="pct"/>
            <w:tcBorders>
              <w:tl2br w:val="nil"/>
              <w:tr2bl w:val="nil"/>
            </w:tcBorders>
            <w:vAlign w:val="center"/>
          </w:tcPr>
          <w:p w14:paraId="13CFBB07">
            <w:pPr>
              <w:widowControl/>
              <w:numPr>
                <w:ilvl w:val="0"/>
                <w:numId w:val="1"/>
              </w:numPr>
              <w:spacing w:line="460" w:lineRule="exact"/>
              <w:ind w:left="0" w:leftChars="0" w:firstLine="0" w:firstLineChars="0"/>
              <w:jc w:val="center"/>
              <w:rPr>
                <w:rFonts w:hint="eastAsia" w:cs="宋体"/>
                <w:kern w:val="0"/>
                <w:sz w:val="21"/>
              </w:rPr>
            </w:pPr>
          </w:p>
        </w:tc>
        <w:tc>
          <w:tcPr>
            <w:tcW w:w="595" w:type="pct"/>
            <w:vMerge w:val="restart"/>
            <w:tcBorders>
              <w:tl2br w:val="nil"/>
              <w:tr2bl w:val="nil"/>
            </w:tcBorders>
            <w:vAlign w:val="center"/>
          </w:tcPr>
          <w:p w14:paraId="5A082CD0">
            <w:pPr>
              <w:widowControl/>
              <w:spacing w:line="460" w:lineRule="exact"/>
              <w:ind w:firstLine="0" w:firstLineChars="0"/>
              <w:jc w:val="center"/>
              <w:rPr>
                <w:rFonts w:cs="宋体"/>
                <w:kern w:val="0"/>
                <w:sz w:val="21"/>
              </w:rPr>
            </w:pPr>
            <w:r>
              <w:rPr>
                <w:rFonts w:hint="eastAsia" w:cs="宋体"/>
                <w:kern w:val="0"/>
                <w:sz w:val="21"/>
                <w:highlight w:val="none"/>
              </w:rPr>
              <w:t>智能医审</w:t>
            </w:r>
          </w:p>
        </w:tc>
        <w:tc>
          <w:tcPr>
            <w:tcW w:w="1491" w:type="pct"/>
            <w:tcBorders>
              <w:tl2br w:val="nil"/>
              <w:tr2bl w:val="nil"/>
            </w:tcBorders>
            <w:vAlign w:val="center"/>
          </w:tcPr>
          <w:p w14:paraId="1078572F">
            <w:pPr>
              <w:widowControl/>
              <w:spacing w:line="460" w:lineRule="exact"/>
              <w:ind w:firstLine="0" w:firstLineChars="0"/>
              <w:jc w:val="center"/>
              <w:rPr>
                <w:rFonts w:hint="eastAsia" w:cs="宋体"/>
                <w:kern w:val="0"/>
                <w:sz w:val="21"/>
              </w:rPr>
            </w:pPr>
            <w:r>
              <w:rPr>
                <w:rFonts w:hint="eastAsia" w:cs="宋体"/>
                <w:kern w:val="0"/>
                <w:sz w:val="21"/>
              </w:rPr>
              <w:t>今日可疑违规提醒</w:t>
            </w:r>
          </w:p>
        </w:tc>
        <w:tc>
          <w:tcPr>
            <w:tcW w:w="2696" w:type="pct"/>
            <w:tcBorders>
              <w:tl2br w:val="nil"/>
              <w:tr2bl w:val="nil"/>
            </w:tcBorders>
            <w:vAlign w:val="center"/>
          </w:tcPr>
          <w:p w14:paraId="37BBD65B">
            <w:pPr>
              <w:jc w:val="left"/>
              <w:rPr>
                <w:rFonts w:hint="eastAsia"/>
              </w:rPr>
            </w:pPr>
            <w:r>
              <w:rPr>
                <w:rFonts w:hint="eastAsia"/>
              </w:rPr>
              <w:t>系统提供今日可疑违规提醒分析，通过HIS接口服务，HIS实时调用医保限制规则知识库，对全院的可疑违规情况实时提醒</w:t>
            </w:r>
          </w:p>
        </w:tc>
      </w:tr>
      <w:tr w14:paraId="2B76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201F83E9">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0230DB68">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241209A1">
            <w:pPr>
              <w:widowControl/>
              <w:spacing w:line="460" w:lineRule="exact"/>
              <w:ind w:firstLine="0" w:firstLineChars="0"/>
              <w:jc w:val="center"/>
              <w:rPr>
                <w:rFonts w:hint="eastAsia" w:cs="宋体"/>
                <w:kern w:val="0"/>
                <w:sz w:val="21"/>
              </w:rPr>
            </w:pPr>
            <w:r>
              <w:rPr>
                <w:rFonts w:hint="eastAsia" w:cs="宋体"/>
                <w:kern w:val="0"/>
                <w:sz w:val="21"/>
              </w:rPr>
              <w:t>医审可疑违规概览</w:t>
            </w:r>
          </w:p>
        </w:tc>
        <w:tc>
          <w:tcPr>
            <w:tcW w:w="2696" w:type="pct"/>
            <w:tcBorders>
              <w:tl2br w:val="nil"/>
              <w:tr2bl w:val="nil"/>
            </w:tcBorders>
            <w:vAlign w:val="center"/>
          </w:tcPr>
          <w:p w14:paraId="438699FF">
            <w:pPr>
              <w:jc w:val="left"/>
              <w:rPr>
                <w:rFonts w:hint="eastAsia"/>
              </w:rPr>
            </w:pPr>
            <w:r>
              <w:rPr>
                <w:rFonts w:hint="eastAsia"/>
              </w:rPr>
              <w:t>系统提供医审可疑违规概览，支持从全院、科室、医生、患者等多维度来分析在院/出院病人的医审违规排名、违规分类、违规定位、违规统计等功能</w:t>
            </w:r>
          </w:p>
        </w:tc>
      </w:tr>
      <w:tr w14:paraId="21F6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367146B8">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7F292565">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4ACF60F3">
            <w:pPr>
              <w:widowControl/>
              <w:spacing w:line="460" w:lineRule="exact"/>
              <w:ind w:firstLine="0" w:firstLineChars="0"/>
              <w:jc w:val="center"/>
              <w:rPr>
                <w:rFonts w:hint="eastAsia" w:cs="宋体"/>
                <w:kern w:val="0"/>
                <w:sz w:val="21"/>
              </w:rPr>
            </w:pPr>
            <w:r>
              <w:rPr>
                <w:rFonts w:hint="eastAsia" w:cs="宋体"/>
                <w:kern w:val="0"/>
                <w:sz w:val="21"/>
              </w:rPr>
              <w:t>可疑违规类型分析</w:t>
            </w:r>
          </w:p>
        </w:tc>
        <w:tc>
          <w:tcPr>
            <w:tcW w:w="2696" w:type="pct"/>
            <w:tcBorders>
              <w:tl2br w:val="nil"/>
              <w:tr2bl w:val="nil"/>
            </w:tcBorders>
            <w:vAlign w:val="center"/>
          </w:tcPr>
          <w:p w14:paraId="6CD2A2A7">
            <w:pPr>
              <w:jc w:val="left"/>
              <w:rPr>
                <w:rFonts w:hint="eastAsia"/>
              </w:rPr>
            </w:pPr>
            <w:r>
              <w:rPr>
                <w:rFonts w:hint="eastAsia"/>
              </w:rPr>
              <w:t>系统提供可疑违规类型分析，支持多种维度对全院可疑违规类型进行统计分析</w:t>
            </w:r>
          </w:p>
        </w:tc>
      </w:tr>
      <w:tr w14:paraId="768A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1A3FB1DE">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50E96989">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57B63436">
            <w:pPr>
              <w:widowControl/>
              <w:spacing w:line="460" w:lineRule="exact"/>
              <w:ind w:firstLine="0" w:firstLineChars="0"/>
              <w:jc w:val="center"/>
              <w:rPr>
                <w:rFonts w:hint="eastAsia" w:cs="宋体"/>
                <w:kern w:val="0"/>
                <w:sz w:val="21"/>
              </w:rPr>
            </w:pPr>
            <w:r>
              <w:rPr>
                <w:rFonts w:hint="eastAsia" w:cs="宋体"/>
                <w:kern w:val="0"/>
                <w:sz w:val="21"/>
              </w:rPr>
              <w:t>可疑违规费用监测</w:t>
            </w:r>
          </w:p>
        </w:tc>
        <w:tc>
          <w:tcPr>
            <w:tcW w:w="2696" w:type="pct"/>
            <w:tcBorders>
              <w:tl2br w:val="nil"/>
              <w:tr2bl w:val="nil"/>
            </w:tcBorders>
            <w:vAlign w:val="center"/>
          </w:tcPr>
          <w:p w14:paraId="56772E27">
            <w:pPr>
              <w:jc w:val="left"/>
              <w:rPr>
                <w:rFonts w:hint="eastAsia"/>
              </w:rPr>
            </w:pPr>
            <w:r>
              <w:rPr>
                <w:rFonts w:hint="eastAsia"/>
              </w:rPr>
              <w:t>面向医保科、临床科室，提供在院可疑费用监测、出院可疑费用监测功能</w:t>
            </w:r>
          </w:p>
        </w:tc>
      </w:tr>
      <w:tr w14:paraId="1CF4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3F486A5D">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42E2B551">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09A2D1F1">
            <w:pPr>
              <w:widowControl/>
              <w:spacing w:line="460" w:lineRule="exact"/>
              <w:ind w:firstLine="0" w:firstLineChars="0"/>
              <w:jc w:val="center"/>
              <w:rPr>
                <w:rFonts w:hint="default" w:cs="宋体"/>
                <w:kern w:val="0"/>
                <w:sz w:val="21"/>
                <w:highlight w:val="none"/>
                <w:lang w:val="en-US" w:eastAsia="zh-CN"/>
              </w:rPr>
            </w:pPr>
            <w:r>
              <w:rPr>
                <w:rFonts w:hint="eastAsia" w:cs="宋体"/>
                <w:kern w:val="0"/>
                <w:sz w:val="21"/>
                <w:highlight w:val="none"/>
                <w:lang w:val="en-US" w:eastAsia="zh-CN"/>
              </w:rPr>
              <w:t>门诊处方审核</w:t>
            </w:r>
          </w:p>
        </w:tc>
        <w:tc>
          <w:tcPr>
            <w:tcW w:w="2696" w:type="pct"/>
            <w:tcBorders>
              <w:tl2br w:val="nil"/>
              <w:tr2bl w:val="nil"/>
            </w:tcBorders>
            <w:vAlign w:val="center"/>
          </w:tcPr>
          <w:p w14:paraId="5B16DD61">
            <w:pPr>
              <w:widowControl/>
              <w:spacing w:line="460" w:lineRule="exact"/>
              <w:ind w:firstLine="0" w:firstLineChars="0"/>
              <w:jc w:val="both"/>
              <w:rPr>
                <w:rFonts w:hint="default" w:cs="宋体"/>
                <w:kern w:val="0"/>
                <w:sz w:val="21"/>
                <w:highlight w:val="none"/>
                <w:lang w:val="en-US" w:eastAsia="zh-CN"/>
              </w:rPr>
            </w:pPr>
            <w:r>
              <w:rPr>
                <w:rFonts w:hint="eastAsia" w:cs="宋体"/>
                <w:kern w:val="0"/>
                <w:sz w:val="21"/>
                <w:highlight w:val="none"/>
                <w:lang w:val="en-US" w:eastAsia="zh-CN"/>
              </w:rPr>
              <w:t>支持门诊处方的违规提醒</w:t>
            </w:r>
          </w:p>
        </w:tc>
      </w:tr>
      <w:tr w14:paraId="5EEF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6" w:type="pct"/>
            <w:tcBorders>
              <w:tl2br w:val="nil"/>
              <w:tr2bl w:val="nil"/>
            </w:tcBorders>
            <w:vAlign w:val="center"/>
          </w:tcPr>
          <w:p w14:paraId="3F97091E">
            <w:pPr>
              <w:widowControl/>
              <w:numPr>
                <w:ilvl w:val="0"/>
                <w:numId w:val="1"/>
              </w:numPr>
              <w:spacing w:line="460" w:lineRule="exact"/>
              <w:ind w:left="0" w:leftChars="0" w:firstLine="0" w:firstLineChars="0"/>
              <w:jc w:val="center"/>
              <w:rPr>
                <w:rFonts w:hint="eastAsia" w:cs="宋体"/>
                <w:kern w:val="0"/>
                <w:sz w:val="21"/>
              </w:rPr>
            </w:pPr>
          </w:p>
        </w:tc>
        <w:tc>
          <w:tcPr>
            <w:tcW w:w="595" w:type="pct"/>
            <w:vMerge w:val="restart"/>
            <w:tcBorders>
              <w:tl2br w:val="nil"/>
              <w:tr2bl w:val="nil"/>
            </w:tcBorders>
            <w:vAlign w:val="center"/>
          </w:tcPr>
          <w:p w14:paraId="2CE6C197">
            <w:pPr>
              <w:widowControl/>
              <w:spacing w:line="460" w:lineRule="exact"/>
              <w:ind w:firstLine="0" w:firstLineChars="0"/>
              <w:jc w:val="center"/>
              <w:rPr>
                <w:rFonts w:cs="宋体"/>
                <w:kern w:val="0"/>
                <w:sz w:val="21"/>
              </w:rPr>
            </w:pPr>
            <w:r>
              <w:rPr>
                <w:rFonts w:hint="eastAsia" w:cs="宋体"/>
                <w:kern w:val="0"/>
                <w:sz w:val="21"/>
              </w:rPr>
              <w:t>费用管控</w:t>
            </w:r>
          </w:p>
        </w:tc>
        <w:tc>
          <w:tcPr>
            <w:tcW w:w="1491" w:type="pct"/>
            <w:tcBorders>
              <w:tl2br w:val="nil"/>
              <w:tr2bl w:val="nil"/>
            </w:tcBorders>
            <w:vAlign w:val="center"/>
          </w:tcPr>
          <w:p w14:paraId="3D7BD3A1">
            <w:pPr>
              <w:widowControl/>
              <w:spacing w:line="460" w:lineRule="exact"/>
              <w:ind w:firstLine="0" w:firstLineChars="0"/>
              <w:jc w:val="center"/>
              <w:rPr>
                <w:rFonts w:hint="default" w:eastAsia="宋体" w:cs="宋体"/>
                <w:kern w:val="0"/>
                <w:sz w:val="21"/>
                <w:highlight w:val="none"/>
                <w:lang w:val="en-US" w:eastAsia="zh-CN"/>
              </w:rPr>
            </w:pPr>
            <w:r>
              <w:rPr>
                <w:rFonts w:hint="eastAsia" w:eastAsia="宋体" w:cs="宋体"/>
                <w:kern w:val="0"/>
                <w:sz w:val="21"/>
                <w:highlight w:val="none"/>
                <w:lang w:val="en-US" w:eastAsia="zh-CN"/>
              </w:rPr>
              <w:t>门诊控费</w:t>
            </w:r>
          </w:p>
        </w:tc>
        <w:tc>
          <w:tcPr>
            <w:tcW w:w="2696" w:type="pct"/>
            <w:tcBorders>
              <w:tl2br w:val="nil"/>
              <w:tr2bl w:val="nil"/>
            </w:tcBorders>
            <w:vAlign w:val="center"/>
          </w:tcPr>
          <w:p w14:paraId="57D68644">
            <w:pPr>
              <w:jc w:val="left"/>
              <w:rPr>
                <w:rFonts w:hint="default" w:eastAsia="宋体"/>
                <w:highlight w:val="none"/>
                <w:lang w:val="en-US" w:eastAsia="zh-CN"/>
              </w:rPr>
            </w:pPr>
            <w:r>
              <w:rPr>
                <w:rFonts w:hint="eastAsia" w:eastAsia="宋体"/>
                <w:highlight w:val="none"/>
                <w:lang w:val="en-US" w:eastAsia="zh-CN"/>
              </w:rPr>
              <w:t>支持查询普通门诊、生育门诊、门特已报销金额、预计剩余金额，</w:t>
            </w:r>
            <w:r>
              <w:rPr>
                <w:rFonts w:hint="eastAsia"/>
                <w:highlight w:val="none"/>
              </w:rPr>
              <w:t>为临床、医保科合理使用医保费用提供指导性建议</w:t>
            </w:r>
          </w:p>
        </w:tc>
      </w:tr>
      <w:tr w14:paraId="3154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6" w:type="pct"/>
            <w:tcBorders>
              <w:tl2br w:val="nil"/>
              <w:tr2bl w:val="nil"/>
            </w:tcBorders>
            <w:vAlign w:val="center"/>
          </w:tcPr>
          <w:p w14:paraId="69FC2798">
            <w:pPr>
              <w:widowControl/>
              <w:numPr>
                <w:ilvl w:val="0"/>
                <w:numId w:val="1"/>
              </w:numPr>
              <w:spacing w:line="460" w:lineRule="exact"/>
              <w:ind w:left="0" w:leftChars="0" w:firstLine="0" w:firstLineChars="0"/>
              <w:jc w:val="center"/>
              <w:rPr>
                <w:rFonts w:hint="eastAsia" w:cs="宋体"/>
                <w:kern w:val="0"/>
                <w:sz w:val="21"/>
              </w:rPr>
            </w:pPr>
          </w:p>
        </w:tc>
        <w:tc>
          <w:tcPr>
            <w:tcW w:w="595" w:type="pct"/>
            <w:vMerge w:val="continue"/>
            <w:tcBorders>
              <w:tl2br w:val="nil"/>
              <w:tr2bl w:val="nil"/>
            </w:tcBorders>
            <w:vAlign w:val="center"/>
          </w:tcPr>
          <w:p w14:paraId="51DC2EBD">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62252CAF">
            <w:pPr>
              <w:widowControl/>
              <w:spacing w:line="460" w:lineRule="exact"/>
              <w:ind w:firstLine="0" w:firstLineChars="0"/>
              <w:jc w:val="center"/>
              <w:rPr>
                <w:rFonts w:hint="eastAsia" w:cs="宋体"/>
                <w:kern w:val="0"/>
                <w:sz w:val="21"/>
              </w:rPr>
            </w:pPr>
            <w:r>
              <w:rPr>
                <w:rFonts w:hint="eastAsia" w:cs="宋体"/>
                <w:kern w:val="0"/>
                <w:sz w:val="21"/>
              </w:rPr>
              <w:t>在院病人盈亏测算</w:t>
            </w:r>
          </w:p>
        </w:tc>
        <w:tc>
          <w:tcPr>
            <w:tcW w:w="2696" w:type="pct"/>
            <w:tcBorders>
              <w:tl2br w:val="nil"/>
              <w:tr2bl w:val="nil"/>
            </w:tcBorders>
            <w:vAlign w:val="center"/>
          </w:tcPr>
          <w:p w14:paraId="68C5C7B9">
            <w:pPr>
              <w:jc w:val="left"/>
              <w:rPr>
                <w:rFonts w:hint="eastAsia"/>
              </w:rPr>
            </w:pPr>
            <w:r>
              <w:rPr>
                <w:rFonts w:hint="eastAsia"/>
              </w:rPr>
              <w:t>对在院病人医保费用进行事中监控，分析医保费用使用偏差情况，合理控制医保费用，为临床、医保科合理使用医保费用提供指导性建议</w:t>
            </w:r>
          </w:p>
        </w:tc>
      </w:tr>
      <w:tr w14:paraId="664A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16" w:type="pct"/>
            <w:tcBorders>
              <w:tl2br w:val="nil"/>
              <w:tr2bl w:val="nil"/>
            </w:tcBorders>
            <w:vAlign w:val="center"/>
          </w:tcPr>
          <w:p w14:paraId="53C7B894">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73C4A077">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3C3C03F3">
            <w:pPr>
              <w:widowControl/>
              <w:spacing w:line="460" w:lineRule="exact"/>
              <w:ind w:firstLine="0" w:firstLineChars="0"/>
              <w:jc w:val="center"/>
              <w:rPr>
                <w:rFonts w:hint="eastAsia" w:cs="宋体"/>
                <w:kern w:val="0"/>
                <w:sz w:val="21"/>
              </w:rPr>
            </w:pPr>
            <w:r>
              <w:rPr>
                <w:rFonts w:hint="eastAsia" w:cs="宋体"/>
                <w:kern w:val="0"/>
                <w:sz w:val="21"/>
              </w:rPr>
              <w:t>出院病人盈亏测算</w:t>
            </w:r>
          </w:p>
        </w:tc>
        <w:tc>
          <w:tcPr>
            <w:tcW w:w="2696" w:type="pct"/>
            <w:tcBorders>
              <w:tl2br w:val="nil"/>
              <w:tr2bl w:val="nil"/>
            </w:tcBorders>
            <w:vAlign w:val="center"/>
          </w:tcPr>
          <w:p w14:paraId="37B33E7B">
            <w:pPr>
              <w:jc w:val="left"/>
              <w:rPr>
                <w:rFonts w:hint="eastAsia"/>
              </w:rPr>
            </w:pPr>
            <w:r>
              <w:rPr>
                <w:rFonts w:hint="eastAsia"/>
              </w:rPr>
              <w:t>系统提供出院病人盈亏测算，对已出院结算病人进行医保费用盈亏测算</w:t>
            </w:r>
          </w:p>
        </w:tc>
      </w:tr>
      <w:tr w14:paraId="337E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16" w:type="pct"/>
            <w:tcBorders>
              <w:tl2br w:val="nil"/>
              <w:tr2bl w:val="nil"/>
            </w:tcBorders>
            <w:vAlign w:val="center"/>
          </w:tcPr>
          <w:p w14:paraId="36C863EB">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24B7A897">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74AB5117">
            <w:pPr>
              <w:widowControl/>
              <w:spacing w:line="460" w:lineRule="exact"/>
              <w:ind w:firstLine="0" w:firstLineChars="0"/>
              <w:jc w:val="center"/>
              <w:rPr>
                <w:rFonts w:hint="eastAsia" w:cs="宋体"/>
                <w:kern w:val="0"/>
                <w:sz w:val="21"/>
              </w:rPr>
            </w:pPr>
            <w:r>
              <w:rPr>
                <w:rFonts w:hint="eastAsia" w:cs="宋体"/>
                <w:kern w:val="0"/>
                <w:sz w:val="21"/>
              </w:rPr>
              <w:t>科室结算盈亏分析</w:t>
            </w:r>
          </w:p>
        </w:tc>
        <w:tc>
          <w:tcPr>
            <w:tcW w:w="2696" w:type="pct"/>
            <w:tcBorders>
              <w:tl2br w:val="nil"/>
              <w:tr2bl w:val="nil"/>
            </w:tcBorders>
            <w:vAlign w:val="center"/>
          </w:tcPr>
          <w:p w14:paraId="3444F34F">
            <w:pPr>
              <w:jc w:val="left"/>
              <w:rPr>
                <w:rFonts w:hint="eastAsia"/>
              </w:rPr>
            </w:pPr>
            <w:r>
              <w:rPr>
                <w:rFonts w:hint="eastAsia"/>
              </w:rPr>
              <w:t>系统提供科室结算盈亏分析，支持科室维度统计医保盈亏分析</w:t>
            </w:r>
          </w:p>
        </w:tc>
      </w:tr>
      <w:tr w14:paraId="3815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6" w:type="pct"/>
            <w:tcBorders>
              <w:tl2br w:val="nil"/>
              <w:tr2bl w:val="nil"/>
            </w:tcBorders>
            <w:vAlign w:val="center"/>
          </w:tcPr>
          <w:p w14:paraId="4AB76FA2">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2EC21C8F">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2961E08F">
            <w:pPr>
              <w:widowControl/>
              <w:spacing w:line="460" w:lineRule="exact"/>
              <w:ind w:firstLine="0" w:firstLineChars="0"/>
              <w:jc w:val="center"/>
              <w:rPr>
                <w:rFonts w:hint="eastAsia" w:cs="宋体"/>
                <w:kern w:val="0"/>
                <w:sz w:val="21"/>
              </w:rPr>
            </w:pPr>
            <w:r>
              <w:rPr>
                <w:rFonts w:hint="eastAsia" w:cs="宋体"/>
                <w:kern w:val="0"/>
                <w:sz w:val="21"/>
              </w:rPr>
              <w:t>DIP病组盈亏分析</w:t>
            </w:r>
          </w:p>
        </w:tc>
        <w:tc>
          <w:tcPr>
            <w:tcW w:w="2696" w:type="pct"/>
            <w:tcBorders>
              <w:tl2br w:val="nil"/>
              <w:tr2bl w:val="nil"/>
            </w:tcBorders>
            <w:vAlign w:val="center"/>
          </w:tcPr>
          <w:p w14:paraId="51E84E40">
            <w:pPr>
              <w:jc w:val="left"/>
              <w:rPr>
                <w:rFonts w:hint="eastAsia"/>
              </w:rPr>
            </w:pPr>
            <w:r>
              <w:rPr>
                <w:rFonts w:hint="eastAsia"/>
              </w:rPr>
              <w:t>系统提供DIP病组盈亏分析，根据结算病组在全院的盈亏情况，帮助医院了解全院、科室和医生的优势DIP控费病组与控费较差的病组，为后续发展重点病种学科提供数据保障</w:t>
            </w:r>
          </w:p>
        </w:tc>
      </w:tr>
      <w:tr w14:paraId="1299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6" w:type="pct"/>
            <w:tcBorders>
              <w:tl2br w:val="nil"/>
              <w:tr2bl w:val="nil"/>
            </w:tcBorders>
            <w:vAlign w:val="center"/>
          </w:tcPr>
          <w:p w14:paraId="6566766D">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05708E10">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6BC20BF0">
            <w:pPr>
              <w:widowControl/>
              <w:spacing w:line="460" w:lineRule="exact"/>
              <w:ind w:firstLine="0" w:firstLineChars="0"/>
              <w:jc w:val="center"/>
              <w:rPr>
                <w:rFonts w:hint="eastAsia" w:cs="宋体"/>
                <w:kern w:val="0"/>
                <w:sz w:val="21"/>
              </w:rPr>
            </w:pPr>
            <w:r>
              <w:rPr>
                <w:rFonts w:hint="eastAsia" w:cs="宋体"/>
                <w:kern w:val="0"/>
                <w:sz w:val="21"/>
              </w:rPr>
              <w:t>病例结算类型分析</w:t>
            </w:r>
          </w:p>
        </w:tc>
        <w:tc>
          <w:tcPr>
            <w:tcW w:w="2696" w:type="pct"/>
            <w:tcBorders>
              <w:tl2br w:val="nil"/>
              <w:tr2bl w:val="nil"/>
            </w:tcBorders>
            <w:vAlign w:val="center"/>
          </w:tcPr>
          <w:p w14:paraId="573D9E27">
            <w:pPr>
              <w:jc w:val="left"/>
              <w:rPr>
                <w:rFonts w:hint="eastAsia"/>
              </w:rPr>
            </w:pPr>
            <w:r>
              <w:rPr>
                <w:rFonts w:hint="eastAsia"/>
              </w:rPr>
              <w:t>支持从费用结构类型维度剖析，可直观查看全院、科室的费用结构类型分布情况，通过对病例数、病例数占比、总盈亏额、总分值、总费用、DIP支付费用等分析病例分布与占比情况，全盘掌控医院费用分布情况，便于针对性调整决策</w:t>
            </w:r>
          </w:p>
        </w:tc>
      </w:tr>
      <w:tr w14:paraId="3A4D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66A7AEAF">
            <w:pPr>
              <w:widowControl/>
              <w:numPr>
                <w:ilvl w:val="0"/>
                <w:numId w:val="1"/>
              </w:numPr>
              <w:spacing w:line="460" w:lineRule="exact"/>
              <w:ind w:left="0" w:leftChars="0" w:firstLine="0" w:firstLineChars="0"/>
              <w:jc w:val="center"/>
              <w:rPr>
                <w:rFonts w:hint="eastAsia" w:cs="宋体"/>
                <w:kern w:val="0"/>
                <w:sz w:val="21"/>
              </w:rPr>
            </w:pPr>
          </w:p>
        </w:tc>
        <w:tc>
          <w:tcPr>
            <w:tcW w:w="595" w:type="pct"/>
            <w:vMerge w:val="restart"/>
            <w:tcBorders>
              <w:tl2br w:val="nil"/>
              <w:tr2bl w:val="nil"/>
            </w:tcBorders>
            <w:vAlign w:val="center"/>
          </w:tcPr>
          <w:p w14:paraId="213F6B07">
            <w:pPr>
              <w:widowControl/>
              <w:spacing w:line="460" w:lineRule="exact"/>
              <w:ind w:firstLine="0" w:firstLineChars="0"/>
              <w:jc w:val="center"/>
              <w:rPr>
                <w:rFonts w:cs="宋体"/>
                <w:kern w:val="0"/>
                <w:sz w:val="21"/>
              </w:rPr>
            </w:pPr>
            <w:r>
              <w:rPr>
                <w:rFonts w:hint="eastAsia" w:cs="宋体"/>
                <w:kern w:val="0"/>
                <w:sz w:val="21"/>
                <w:highlight w:val="none"/>
              </w:rPr>
              <w:t>运营分析</w:t>
            </w:r>
          </w:p>
        </w:tc>
        <w:tc>
          <w:tcPr>
            <w:tcW w:w="1491" w:type="pct"/>
            <w:tcBorders>
              <w:tl2br w:val="nil"/>
              <w:tr2bl w:val="nil"/>
            </w:tcBorders>
            <w:vAlign w:val="center"/>
          </w:tcPr>
          <w:p w14:paraId="2053AF3B">
            <w:pPr>
              <w:widowControl/>
              <w:spacing w:line="460" w:lineRule="exact"/>
              <w:ind w:firstLine="0" w:firstLineChars="0"/>
              <w:jc w:val="center"/>
              <w:rPr>
                <w:rFonts w:hint="eastAsia" w:cs="宋体"/>
                <w:kern w:val="0"/>
                <w:sz w:val="21"/>
              </w:rPr>
            </w:pPr>
            <w:r>
              <w:rPr>
                <w:rFonts w:hint="eastAsia" w:cs="宋体"/>
                <w:kern w:val="0"/>
                <w:sz w:val="21"/>
              </w:rPr>
              <w:t>医疗服务能力分析</w:t>
            </w:r>
          </w:p>
        </w:tc>
        <w:tc>
          <w:tcPr>
            <w:tcW w:w="2696" w:type="pct"/>
            <w:tcBorders>
              <w:tl2br w:val="nil"/>
              <w:tr2bl w:val="nil"/>
            </w:tcBorders>
            <w:vAlign w:val="center"/>
          </w:tcPr>
          <w:p w14:paraId="789A9D85">
            <w:pPr>
              <w:jc w:val="left"/>
              <w:rPr>
                <w:rFonts w:hint="eastAsia"/>
              </w:rPr>
            </w:pPr>
            <w:r>
              <w:rPr>
                <w:rFonts w:hint="eastAsia"/>
              </w:rPr>
              <w:t>系统提供医疗服务能力分析，医疗能力是对医院的总体服务量、总体医疗水平等方面的综合评价与分析，系统提供从总分值、总例数、DIP组数、科室病种分布情况等多维度进行分析，全面了解全院DIP产能</w:t>
            </w:r>
          </w:p>
        </w:tc>
      </w:tr>
      <w:tr w14:paraId="508C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6" w:type="pct"/>
            <w:tcBorders>
              <w:tl2br w:val="nil"/>
              <w:tr2bl w:val="nil"/>
            </w:tcBorders>
            <w:vAlign w:val="center"/>
          </w:tcPr>
          <w:p w14:paraId="09C18327">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7B464397">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1F2CF425">
            <w:pPr>
              <w:widowControl/>
              <w:spacing w:line="460" w:lineRule="exact"/>
              <w:ind w:firstLine="0" w:firstLineChars="0"/>
              <w:jc w:val="center"/>
              <w:rPr>
                <w:rFonts w:hint="eastAsia" w:cs="宋体"/>
                <w:kern w:val="0"/>
                <w:sz w:val="21"/>
              </w:rPr>
            </w:pPr>
            <w:r>
              <w:rPr>
                <w:rFonts w:hint="eastAsia" w:cs="宋体"/>
                <w:kern w:val="0"/>
                <w:sz w:val="21"/>
              </w:rPr>
              <w:t>医疗服务效率分析</w:t>
            </w:r>
          </w:p>
        </w:tc>
        <w:tc>
          <w:tcPr>
            <w:tcW w:w="2696" w:type="pct"/>
            <w:tcBorders>
              <w:tl2br w:val="nil"/>
              <w:tr2bl w:val="nil"/>
            </w:tcBorders>
            <w:vAlign w:val="center"/>
          </w:tcPr>
          <w:p w14:paraId="18C10D6A">
            <w:pPr>
              <w:jc w:val="left"/>
              <w:rPr>
                <w:rFonts w:hint="eastAsia"/>
              </w:rPr>
            </w:pPr>
            <w:r>
              <w:rPr>
                <w:rFonts w:hint="eastAsia"/>
              </w:rPr>
              <w:t>系统提供医疗服务效率分析，医疗效率分析是对医疗服务评价的重要维度，通过医疗效率能为医院从时间以及费用的维度进行总体评价，同时为科室绩效考核以及医生绩效考核提供数据支撑</w:t>
            </w:r>
          </w:p>
        </w:tc>
      </w:tr>
      <w:tr w14:paraId="4110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31A6715A">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2189DF00">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5558208A">
            <w:pPr>
              <w:widowControl/>
              <w:spacing w:line="460" w:lineRule="exact"/>
              <w:ind w:firstLine="0" w:firstLineChars="0"/>
              <w:jc w:val="center"/>
              <w:rPr>
                <w:rFonts w:hint="eastAsia" w:cs="宋体"/>
                <w:kern w:val="0"/>
                <w:sz w:val="21"/>
              </w:rPr>
            </w:pPr>
            <w:r>
              <w:rPr>
                <w:rFonts w:hint="eastAsia" w:cs="宋体"/>
                <w:kern w:val="0"/>
                <w:sz w:val="21"/>
              </w:rPr>
              <w:t>医疗行为安全分析</w:t>
            </w:r>
          </w:p>
        </w:tc>
        <w:tc>
          <w:tcPr>
            <w:tcW w:w="2696" w:type="pct"/>
            <w:tcBorders>
              <w:tl2br w:val="nil"/>
              <w:tr2bl w:val="nil"/>
            </w:tcBorders>
            <w:vAlign w:val="center"/>
          </w:tcPr>
          <w:p w14:paraId="2BBA19F0">
            <w:pPr>
              <w:jc w:val="left"/>
              <w:rPr>
                <w:rFonts w:hint="eastAsia"/>
              </w:rPr>
            </w:pPr>
            <w:r>
              <w:rPr>
                <w:rFonts w:hint="eastAsia"/>
              </w:rPr>
              <w:t>系统提供医疗行为安全分析，医疗安全分析的核心是对医院的低风险死亡率进行监控与分析，帮助医院及时了解医疗安全指标</w:t>
            </w:r>
          </w:p>
        </w:tc>
      </w:tr>
      <w:tr w14:paraId="3348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6" w:type="pct"/>
            <w:tcBorders>
              <w:tl2br w:val="nil"/>
              <w:tr2bl w:val="nil"/>
            </w:tcBorders>
            <w:vAlign w:val="center"/>
          </w:tcPr>
          <w:p w14:paraId="7CC923F4">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3449B753">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1065B66F">
            <w:pPr>
              <w:widowControl/>
              <w:spacing w:line="460" w:lineRule="exact"/>
              <w:ind w:firstLine="0" w:firstLineChars="0"/>
              <w:jc w:val="center"/>
              <w:rPr>
                <w:rFonts w:hint="eastAsia" w:cs="宋体"/>
                <w:kern w:val="0"/>
                <w:sz w:val="21"/>
              </w:rPr>
            </w:pPr>
            <w:r>
              <w:rPr>
                <w:rFonts w:hint="eastAsia" w:cs="宋体"/>
                <w:kern w:val="0"/>
                <w:sz w:val="21"/>
              </w:rPr>
              <w:t>全院科室运营分析</w:t>
            </w:r>
          </w:p>
        </w:tc>
        <w:tc>
          <w:tcPr>
            <w:tcW w:w="2696" w:type="pct"/>
            <w:tcBorders>
              <w:tl2br w:val="nil"/>
              <w:tr2bl w:val="nil"/>
            </w:tcBorders>
            <w:vAlign w:val="center"/>
          </w:tcPr>
          <w:p w14:paraId="016A3627">
            <w:pPr>
              <w:jc w:val="left"/>
              <w:rPr>
                <w:rFonts w:hint="eastAsia"/>
              </w:rPr>
            </w:pPr>
            <w:r>
              <w:rPr>
                <w:rFonts w:hint="eastAsia"/>
              </w:rPr>
              <w:t>系统提供全院科室运营分析，支持以全院、科室、医生、患者等维度分析运营盈亏分析</w:t>
            </w:r>
          </w:p>
        </w:tc>
      </w:tr>
      <w:tr w14:paraId="6FFA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6" w:type="pct"/>
            <w:tcBorders>
              <w:tl2br w:val="nil"/>
              <w:tr2bl w:val="nil"/>
            </w:tcBorders>
            <w:vAlign w:val="center"/>
          </w:tcPr>
          <w:p w14:paraId="096AC8E1">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02F3A3BC">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072BB3DD">
            <w:pPr>
              <w:widowControl/>
              <w:spacing w:line="460" w:lineRule="exact"/>
              <w:ind w:firstLine="0" w:firstLineChars="0"/>
              <w:jc w:val="center"/>
              <w:rPr>
                <w:rFonts w:hint="eastAsia" w:cs="宋体"/>
                <w:kern w:val="0"/>
                <w:sz w:val="21"/>
              </w:rPr>
            </w:pPr>
            <w:r>
              <w:rPr>
                <w:rFonts w:hint="eastAsia" w:cs="宋体"/>
                <w:kern w:val="0"/>
                <w:sz w:val="21"/>
              </w:rPr>
              <w:t>全院病组运营分析</w:t>
            </w:r>
          </w:p>
        </w:tc>
        <w:tc>
          <w:tcPr>
            <w:tcW w:w="2696" w:type="pct"/>
            <w:tcBorders>
              <w:tl2br w:val="nil"/>
              <w:tr2bl w:val="nil"/>
            </w:tcBorders>
            <w:vAlign w:val="center"/>
          </w:tcPr>
          <w:p w14:paraId="093A6B00">
            <w:pPr>
              <w:jc w:val="left"/>
              <w:rPr>
                <w:rFonts w:hint="eastAsia"/>
              </w:rPr>
            </w:pPr>
            <w:r>
              <w:rPr>
                <w:rFonts w:hint="eastAsia"/>
              </w:rPr>
              <w:t>系统提供全院科室运营分析，支持以全院、科室、医生、患者等维度分析运营盈亏分析</w:t>
            </w:r>
          </w:p>
        </w:tc>
      </w:tr>
      <w:tr w14:paraId="23F7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6" w:type="pct"/>
            <w:tcBorders>
              <w:tl2br w:val="nil"/>
              <w:tr2bl w:val="nil"/>
            </w:tcBorders>
            <w:vAlign w:val="center"/>
          </w:tcPr>
          <w:p w14:paraId="1B15B7EA">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2B6B2D3F">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61315CED">
            <w:pPr>
              <w:widowControl/>
              <w:spacing w:line="460" w:lineRule="exact"/>
              <w:ind w:firstLine="0" w:firstLineChars="0"/>
              <w:jc w:val="center"/>
              <w:rPr>
                <w:rFonts w:hint="eastAsia" w:cs="宋体"/>
                <w:kern w:val="0"/>
                <w:sz w:val="21"/>
              </w:rPr>
            </w:pPr>
            <w:r>
              <w:rPr>
                <w:rFonts w:hint="eastAsia" w:cs="宋体"/>
                <w:kern w:val="0"/>
                <w:sz w:val="21"/>
              </w:rPr>
              <w:t>科室开展病种分析</w:t>
            </w:r>
          </w:p>
        </w:tc>
        <w:tc>
          <w:tcPr>
            <w:tcW w:w="2696" w:type="pct"/>
            <w:tcBorders>
              <w:tl2br w:val="nil"/>
              <w:tr2bl w:val="nil"/>
            </w:tcBorders>
            <w:vAlign w:val="center"/>
          </w:tcPr>
          <w:p w14:paraId="2C8D7D27">
            <w:pPr>
              <w:jc w:val="left"/>
              <w:rPr>
                <w:rFonts w:hint="eastAsia"/>
              </w:rPr>
            </w:pPr>
            <w:r>
              <w:rPr>
                <w:rFonts w:hint="eastAsia"/>
              </w:rPr>
              <w:t>系统提供科室开展病种分析。提供科室DIP组数、学科内DIP组、学科外DIP组等分析，展现各科室DIP学科开展情况；提供科室病种分析，支持钻取查看各DIP病组详细信息</w:t>
            </w:r>
          </w:p>
        </w:tc>
      </w:tr>
      <w:tr w14:paraId="77C9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6" w:type="pct"/>
            <w:tcBorders>
              <w:tl2br w:val="nil"/>
              <w:tr2bl w:val="nil"/>
            </w:tcBorders>
            <w:vAlign w:val="center"/>
          </w:tcPr>
          <w:p w14:paraId="4841816F">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1FF450A3">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1545CBE8">
            <w:pPr>
              <w:widowControl/>
              <w:spacing w:line="460" w:lineRule="exact"/>
              <w:ind w:firstLine="0" w:firstLineChars="0"/>
              <w:jc w:val="center"/>
              <w:rPr>
                <w:rFonts w:hint="eastAsia" w:cs="宋体"/>
                <w:kern w:val="0"/>
                <w:sz w:val="21"/>
              </w:rPr>
            </w:pPr>
            <w:r>
              <w:rPr>
                <w:rFonts w:hint="eastAsia" w:cs="宋体"/>
                <w:kern w:val="0"/>
                <w:sz w:val="21"/>
              </w:rPr>
              <w:t>科室综合分析</w:t>
            </w:r>
          </w:p>
        </w:tc>
        <w:tc>
          <w:tcPr>
            <w:tcW w:w="2696" w:type="pct"/>
            <w:tcBorders>
              <w:tl2br w:val="nil"/>
              <w:tr2bl w:val="nil"/>
            </w:tcBorders>
            <w:vAlign w:val="center"/>
          </w:tcPr>
          <w:p w14:paraId="5B7706A6">
            <w:pPr>
              <w:jc w:val="left"/>
              <w:rPr>
                <w:rFonts w:hint="eastAsia"/>
              </w:rPr>
            </w:pPr>
            <w:r>
              <w:rPr>
                <w:rFonts w:hint="eastAsia"/>
              </w:rPr>
              <w:t>系统支持从盈亏分析、费用结构分析、病种分析、入组分析、效率指标分析、手术能力分析、重点病例分析7个主题层面构建科室综合分析体系</w:t>
            </w:r>
          </w:p>
        </w:tc>
      </w:tr>
      <w:tr w14:paraId="2A9E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6" w:type="pct"/>
            <w:tcBorders>
              <w:tl2br w:val="nil"/>
              <w:tr2bl w:val="nil"/>
            </w:tcBorders>
            <w:vAlign w:val="center"/>
          </w:tcPr>
          <w:p w14:paraId="070BDEA4">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617B9055">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30FBD880">
            <w:pPr>
              <w:widowControl/>
              <w:spacing w:line="460" w:lineRule="exact"/>
              <w:ind w:firstLine="0" w:firstLineChars="0"/>
              <w:jc w:val="center"/>
              <w:rPr>
                <w:rFonts w:hint="eastAsia" w:cs="宋体"/>
                <w:kern w:val="0"/>
                <w:sz w:val="21"/>
              </w:rPr>
            </w:pPr>
            <w:r>
              <w:rPr>
                <w:rFonts w:hint="eastAsia" w:cs="宋体"/>
                <w:kern w:val="0"/>
                <w:sz w:val="21"/>
              </w:rPr>
              <w:t>医疗组综合分析</w:t>
            </w:r>
          </w:p>
        </w:tc>
        <w:tc>
          <w:tcPr>
            <w:tcW w:w="2696" w:type="pct"/>
            <w:tcBorders>
              <w:tl2br w:val="nil"/>
              <w:tr2bl w:val="nil"/>
            </w:tcBorders>
            <w:vAlign w:val="center"/>
          </w:tcPr>
          <w:p w14:paraId="3679B6A9">
            <w:pPr>
              <w:jc w:val="left"/>
              <w:rPr>
                <w:rFonts w:hint="eastAsia"/>
              </w:rPr>
            </w:pPr>
            <w:r>
              <w:rPr>
                <w:rFonts w:hint="eastAsia"/>
              </w:rPr>
              <w:t>系统支持医疗组综合查询分析，临床医师可点击盈余医疗组、亏损医疗组标签快速筛选出医疗组的费用极高病例数、费用极低病例数、医疗总费用、标杆费用、盈亏额、次均费用、RW、药占比、耗材占比、检查检验占比等，方便临床医师查看与对比分析医疗组运营指标情况</w:t>
            </w:r>
          </w:p>
        </w:tc>
      </w:tr>
      <w:tr w14:paraId="5A1B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6" w:type="pct"/>
            <w:tcBorders>
              <w:tl2br w:val="nil"/>
              <w:tr2bl w:val="nil"/>
            </w:tcBorders>
            <w:vAlign w:val="center"/>
          </w:tcPr>
          <w:p w14:paraId="42333651">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1EAEF15B">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199B9B41">
            <w:pPr>
              <w:widowControl/>
              <w:spacing w:line="460" w:lineRule="exact"/>
              <w:ind w:firstLine="0" w:firstLineChars="0"/>
              <w:jc w:val="center"/>
              <w:rPr>
                <w:rFonts w:hint="eastAsia" w:cs="宋体"/>
                <w:kern w:val="0"/>
                <w:sz w:val="21"/>
              </w:rPr>
            </w:pPr>
            <w:r>
              <w:rPr>
                <w:rFonts w:hint="eastAsia" w:cs="宋体"/>
                <w:kern w:val="0"/>
                <w:sz w:val="21"/>
              </w:rPr>
              <w:t>医生综合分析</w:t>
            </w:r>
          </w:p>
        </w:tc>
        <w:tc>
          <w:tcPr>
            <w:tcW w:w="2696" w:type="pct"/>
            <w:tcBorders>
              <w:tl2br w:val="nil"/>
              <w:tr2bl w:val="nil"/>
            </w:tcBorders>
            <w:vAlign w:val="center"/>
          </w:tcPr>
          <w:p w14:paraId="6E0F6D37">
            <w:pPr>
              <w:jc w:val="left"/>
              <w:rPr>
                <w:rFonts w:hint="eastAsia"/>
              </w:rPr>
            </w:pPr>
            <w:r>
              <w:rPr>
                <w:rFonts w:hint="eastAsia"/>
              </w:rPr>
              <w:t>系统支持快速查询出盈余医生、亏损医生，可通过医师姓名、工号，精准查询出临床科室医生的费用极高病例、费用极低病例、费用盈亏情况、CMI、分值权重、盈余病种、亏损病种、费用结构等指标情况，方便临床科查看医师的综合分析指标数据</w:t>
            </w:r>
          </w:p>
        </w:tc>
      </w:tr>
      <w:tr w14:paraId="7C2D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6" w:type="pct"/>
            <w:tcBorders>
              <w:tl2br w:val="nil"/>
              <w:tr2bl w:val="nil"/>
            </w:tcBorders>
            <w:vAlign w:val="center"/>
          </w:tcPr>
          <w:p w14:paraId="205C06D9">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5FB43C71">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435247C8">
            <w:pPr>
              <w:widowControl/>
              <w:spacing w:line="460" w:lineRule="exact"/>
              <w:ind w:firstLine="0" w:firstLineChars="0"/>
              <w:jc w:val="center"/>
              <w:rPr>
                <w:rFonts w:hint="eastAsia" w:cs="宋体"/>
                <w:kern w:val="0"/>
                <w:sz w:val="21"/>
              </w:rPr>
            </w:pPr>
            <w:r>
              <w:rPr>
                <w:rFonts w:hint="eastAsia" w:cs="宋体"/>
                <w:kern w:val="0"/>
                <w:sz w:val="21"/>
              </w:rPr>
              <w:t>病例综合查询</w:t>
            </w:r>
          </w:p>
        </w:tc>
        <w:tc>
          <w:tcPr>
            <w:tcW w:w="2696" w:type="pct"/>
            <w:tcBorders>
              <w:tl2br w:val="nil"/>
              <w:tr2bl w:val="nil"/>
            </w:tcBorders>
            <w:vAlign w:val="center"/>
          </w:tcPr>
          <w:p w14:paraId="3C8EEF60">
            <w:pPr>
              <w:jc w:val="left"/>
              <w:rPr>
                <w:rFonts w:hint="eastAsia"/>
              </w:rPr>
            </w:pPr>
            <w:r>
              <w:rPr>
                <w:rFonts w:hint="eastAsia"/>
              </w:rPr>
              <w:t>主要从病例结算类型维度剖析，可直观查看全院、科室的类型分布与占比情况，便于医院管理科室及时关注亏损较多的病例类型</w:t>
            </w:r>
          </w:p>
        </w:tc>
      </w:tr>
      <w:tr w14:paraId="7EFD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6" w:type="pct"/>
            <w:tcBorders>
              <w:tl2br w:val="nil"/>
              <w:tr2bl w:val="nil"/>
            </w:tcBorders>
            <w:vAlign w:val="center"/>
          </w:tcPr>
          <w:p w14:paraId="2DF18071">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70AEA15A">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19087BDA">
            <w:pPr>
              <w:widowControl/>
              <w:spacing w:line="460" w:lineRule="exact"/>
              <w:ind w:firstLine="0" w:firstLineChars="0"/>
              <w:jc w:val="center"/>
              <w:rPr>
                <w:rFonts w:hint="eastAsia" w:cs="宋体"/>
                <w:kern w:val="0"/>
                <w:sz w:val="21"/>
              </w:rPr>
            </w:pPr>
            <w:r>
              <w:rPr>
                <w:rFonts w:hint="eastAsia" w:cs="宋体"/>
                <w:kern w:val="0"/>
                <w:sz w:val="21"/>
              </w:rPr>
              <w:t>病种综合查询</w:t>
            </w:r>
          </w:p>
        </w:tc>
        <w:tc>
          <w:tcPr>
            <w:tcW w:w="2696" w:type="pct"/>
            <w:tcBorders>
              <w:tl2br w:val="nil"/>
              <w:tr2bl w:val="nil"/>
            </w:tcBorders>
            <w:vAlign w:val="center"/>
          </w:tcPr>
          <w:p w14:paraId="6B4E1FCC">
            <w:pPr>
              <w:jc w:val="left"/>
              <w:rPr>
                <w:rFonts w:hint="eastAsia"/>
              </w:rPr>
            </w:pPr>
            <w:r>
              <w:rPr>
                <w:rFonts w:hint="eastAsia"/>
              </w:rPr>
              <w:t>为医院管理科室提供全院医疗服务能力分析辅助医院明确功能定位、建设重点专科病种</w:t>
            </w:r>
          </w:p>
        </w:tc>
      </w:tr>
      <w:tr w14:paraId="67DD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30257B7B">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05CDF2A0">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05077A12">
            <w:pPr>
              <w:widowControl/>
              <w:spacing w:line="460" w:lineRule="exact"/>
              <w:ind w:firstLine="0" w:firstLineChars="0"/>
              <w:jc w:val="center"/>
              <w:rPr>
                <w:rFonts w:hint="eastAsia" w:cs="宋体" w:eastAsiaTheme="minorEastAsia"/>
                <w:kern w:val="0"/>
                <w:sz w:val="21"/>
                <w:lang w:val="en-US" w:eastAsia="zh-CN"/>
              </w:rPr>
            </w:pPr>
            <w:r>
              <w:rPr>
                <w:rFonts w:hint="eastAsia" w:cs="宋体"/>
                <w:kern w:val="0"/>
                <w:sz w:val="21"/>
                <w:highlight w:val="none"/>
              </w:rPr>
              <w:t>医保月度报表</w:t>
            </w:r>
            <w:r>
              <w:rPr>
                <w:rFonts w:hint="eastAsia" w:cs="宋体"/>
                <w:kern w:val="0"/>
                <w:sz w:val="21"/>
                <w:highlight w:val="none"/>
                <w:lang w:val="en-US" w:eastAsia="zh-CN"/>
              </w:rPr>
              <w:t>导出</w:t>
            </w:r>
          </w:p>
        </w:tc>
        <w:tc>
          <w:tcPr>
            <w:tcW w:w="2696" w:type="pct"/>
            <w:tcBorders>
              <w:tl2br w:val="nil"/>
              <w:tr2bl w:val="nil"/>
            </w:tcBorders>
            <w:vAlign w:val="center"/>
          </w:tcPr>
          <w:p w14:paraId="5650C806">
            <w:pPr>
              <w:jc w:val="left"/>
              <w:rPr>
                <w:rFonts w:hint="default" w:eastAsiaTheme="minorEastAsia"/>
                <w:lang w:val="en-US" w:eastAsia="zh-CN"/>
              </w:rPr>
            </w:pPr>
            <w:r>
              <w:rPr>
                <w:rFonts w:hint="eastAsia"/>
                <w:lang w:val="en-US" w:eastAsia="zh-CN"/>
              </w:rPr>
              <w:t>支持导出门诊月度结算汇总表、住院月度结算汇总表</w:t>
            </w:r>
          </w:p>
        </w:tc>
      </w:tr>
      <w:tr w14:paraId="774A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216" w:type="pct"/>
            <w:tcBorders>
              <w:tl2br w:val="nil"/>
              <w:tr2bl w:val="nil"/>
            </w:tcBorders>
            <w:vAlign w:val="center"/>
          </w:tcPr>
          <w:p w14:paraId="6B738F55">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3324C5B7">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01D464C6">
            <w:pPr>
              <w:widowControl/>
              <w:spacing w:line="460" w:lineRule="exact"/>
              <w:ind w:firstLine="0" w:firstLineChars="0"/>
              <w:jc w:val="center"/>
              <w:rPr>
                <w:rFonts w:hint="default" w:eastAsia="宋体" w:cs="宋体"/>
                <w:kern w:val="0"/>
                <w:sz w:val="21"/>
                <w:highlight w:val="none"/>
                <w:lang w:val="en-US" w:eastAsia="zh-CN"/>
              </w:rPr>
            </w:pPr>
            <w:r>
              <w:rPr>
                <w:rFonts w:hint="eastAsia" w:eastAsia="宋体" w:cs="宋体"/>
                <w:kern w:val="0"/>
                <w:sz w:val="21"/>
                <w:highlight w:val="none"/>
                <w:lang w:val="en-US" w:eastAsia="zh-CN"/>
              </w:rPr>
              <w:t>运营分析报告</w:t>
            </w:r>
          </w:p>
        </w:tc>
        <w:tc>
          <w:tcPr>
            <w:tcW w:w="2696" w:type="pct"/>
            <w:tcBorders>
              <w:tl2br w:val="nil"/>
              <w:tr2bl w:val="nil"/>
            </w:tcBorders>
            <w:vAlign w:val="center"/>
          </w:tcPr>
          <w:p w14:paraId="602F8F85">
            <w:pPr>
              <w:jc w:val="left"/>
              <w:rPr>
                <w:rFonts w:hint="default"/>
                <w:highlight w:val="none"/>
                <w:lang w:val="en-US" w:eastAsia="zh-CN"/>
              </w:rPr>
            </w:pPr>
            <w:r>
              <w:rPr>
                <w:rFonts w:hint="eastAsia"/>
                <w:color w:val="auto"/>
                <w:highlight w:val="none"/>
                <w:lang w:val="en-US" w:eastAsia="zh-CN"/>
              </w:rPr>
              <w:t>支持按月、年度提供DIP数据运营分析报告</w:t>
            </w:r>
          </w:p>
        </w:tc>
      </w:tr>
      <w:tr w14:paraId="5AB3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6" w:type="pct"/>
            <w:tcBorders>
              <w:tl2br w:val="nil"/>
              <w:tr2bl w:val="nil"/>
            </w:tcBorders>
            <w:vAlign w:val="center"/>
          </w:tcPr>
          <w:p w14:paraId="0AF4A526">
            <w:pPr>
              <w:widowControl/>
              <w:numPr>
                <w:ilvl w:val="0"/>
                <w:numId w:val="1"/>
              </w:numPr>
              <w:spacing w:line="460" w:lineRule="exact"/>
              <w:ind w:left="0" w:leftChars="0" w:firstLine="0" w:firstLineChars="0"/>
              <w:jc w:val="center"/>
              <w:rPr>
                <w:rFonts w:hint="eastAsia" w:cs="宋体"/>
                <w:kern w:val="0"/>
                <w:sz w:val="21"/>
              </w:rPr>
            </w:pPr>
          </w:p>
        </w:tc>
        <w:tc>
          <w:tcPr>
            <w:tcW w:w="595" w:type="pct"/>
            <w:vMerge w:val="restart"/>
            <w:tcBorders>
              <w:tl2br w:val="nil"/>
              <w:tr2bl w:val="nil"/>
            </w:tcBorders>
            <w:vAlign w:val="center"/>
          </w:tcPr>
          <w:p w14:paraId="7BBAB7B1">
            <w:pPr>
              <w:widowControl/>
              <w:spacing w:line="460" w:lineRule="exact"/>
              <w:ind w:firstLine="0" w:firstLineChars="0"/>
              <w:jc w:val="center"/>
              <w:rPr>
                <w:rFonts w:cs="宋体"/>
                <w:kern w:val="0"/>
                <w:sz w:val="21"/>
              </w:rPr>
            </w:pPr>
            <w:r>
              <w:rPr>
                <w:rFonts w:hint="eastAsia" w:cs="宋体"/>
                <w:kern w:val="0"/>
                <w:sz w:val="21"/>
              </w:rPr>
              <w:t>医生助手</w:t>
            </w:r>
          </w:p>
        </w:tc>
        <w:tc>
          <w:tcPr>
            <w:tcW w:w="1491" w:type="pct"/>
            <w:tcBorders>
              <w:tl2br w:val="nil"/>
              <w:tr2bl w:val="nil"/>
            </w:tcBorders>
            <w:vAlign w:val="center"/>
          </w:tcPr>
          <w:p w14:paraId="5185712F">
            <w:pPr>
              <w:widowControl/>
              <w:spacing w:line="460" w:lineRule="exact"/>
              <w:ind w:firstLine="0" w:firstLineChars="0"/>
              <w:jc w:val="center"/>
              <w:rPr>
                <w:rFonts w:hint="eastAsia" w:cs="宋体"/>
                <w:kern w:val="0"/>
                <w:sz w:val="21"/>
              </w:rPr>
            </w:pPr>
            <w:r>
              <w:rPr>
                <w:rFonts w:hint="eastAsia" w:cs="宋体"/>
                <w:kern w:val="0"/>
                <w:sz w:val="21"/>
              </w:rPr>
              <w:t>医嘱费用预审</w:t>
            </w:r>
          </w:p>
        </w:tc>
        <w:tc>
          <w:tcPr>
            <w:tcW w:w="2696" w:type="pct"/>
            <w:tcBorders>
              <w:tl2br w:val="nil"/>
              <w:tr2bl w:val="nil"/>
            </w:tcBorders>
            <w:vAlign w:val="center"/>
          </w:tcPr>
          <w:p w14:paraId="7F4D0EE6">
            <w:pPr>
              <w:jc w:val="left"/>
              <w:rPr>
                <w:rFonts w:hint="eastAsia"/>
              </w:rPr>
            </w:pPr>
            <w:r>
              <w:rPr>
                <w:rFonts w:hint="eastAsia"/>
              </w:rPr>
              <w:t>在医生开立医嘱或护士补记账环节提供可疑违规提醒弹窗插件服务</w:t>
            </w:r>
          </w:p>
        </w:tc>
      </w:tr>
      <w:tr w14:paraId="0169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6" w:type="pct"/>
            <w:tcBorders>
              <w:tl2br w:val="nil"/>
              <w:tr2bl w:val="nil"/>
            </w:tcBorders>
            <w:vAlign w:val="center"/>
          </w:tcPr>
          <w:p w14:paraId="5044C99C">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0D37E62C">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2A2DD963">
            <w:pPr>
              <w:widowControl/>
              <w:spacing w:line="460" w:lineRule="exact"/>
              <w:ind w:firstLine="0" w:firstLineChars="0"/>
              <w:jc w:val="center"/>
              <w:rPr>
                <w:rFonts w:hint="eastAsia" w:cs="宋体"/>
                <w:kern w:val="0"/>
                <w:sz w:val="21"/>
              </w:rPr>
            </w:pPr>
            <w:r>
              <w:rPr>
                <w:rFonts w:hint="eastAsia" w:cs="宋体"/>
                <w:kern w:val="0"/>
                <w:sz w:val="21"/>
              </w:rPr>
              <w:t>转科出院监测</w:t>
            </w:r>
          </w:p>
        </w:tc>
        <w:tc>
          <w:tcPr>
            <w:tcW w:w="2696" w:type="pct"/>
            <w:tcBorders>
              <w:tl2br w:val="nil"/>
              <w:tr2bl w:val="nil"/>
            </w:tcBorders>
            <w:vAlign w:val="center"/>
          </w:tcPr>
          <w:p w14:paraId="4226F445">
            <w:pPr>
              <w:jc w:val="left"/>
              <w:rPr>
                <w:rFonts w:hint="eastAsia"/>
              </w:rPr>
            </w:pPr>
            <w:r>
              <w:rPr>
                <w:rFonts w:hint="eastAsia"/>
              </w:rPr>
              <w:t>在患者出现转科或预出院时提供可疑违规提醒弹窗插件服务</w:t>
            </w:r>
          </w:p>
        </w:tc>
      </w:tr>
      <w:tr w14:paraId="6AF2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6" w:type="pct"/>
            <w:tcBorders>
              <w:tl2br w:val="nil"/>
              <w:tr2bl w:val="nil"/>
            </w:tcBorders>
            <w:vAlign w:val="center"/>
          </w:tcPr>
          <w:p w14:paraId="0F24D7A4">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5738D1FD">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2F610B1F">
            <w:pPr>
              <w:widowControl/>
              <w:spacing w:line="460" w:lineRule="exact"/>
              <w:ind w:firstLine="0" w:firstLineChars="0"/>
              <w:jc w:val="center"/>
              <w:rPr>
                <w:rFonts w:hint="eastAsia" w:cs="宋体"/>
                <w:kern w:val="0"/>
                <w:sz w:val="21"/>
              </w:rPr>
            </w:pPr>
            <w:r>
              <w:rPr>
                <w:rFonts w:hint="eastAsia" w:cs="宋体"/>
                <w:kern w:val="0"/>
                <w:sz w:val="21"/>
              </w:rPr>
              <w:t>诊断预入组服务</w:t>
            </w:r>
          </w:p>
        </w:tc>
        <w:tc>
          <w:tcPr>
            <w:tcW w:w="2696" w:type="pct"/>
            <w:tcBorders>
              <w:tl2br w:val="nil"/>
              <w:tr2bl w:val="nil"/>
            </w:tcBorders>
            <w:vAlign w:val="center"/>
          </w:tcPr>
          <w:p w14:paraId="51F4E482">
            <w:pPr>
              <w:jc w:val="left"/>
              <w:rPr>
                <w:rFonts w:hint="eastAsia"/>
              </w:rPr>
            </w:pPr>
            <w:r>
              <w:rPr>
                <w:rFonts w:hint="eastAsia"/>
              </w:rPr>
              <w:t>为医生提供在院病人预入组、分组测算、智能分组、分组盈亏测算推荐弹窗插件服务</w:t>
            </w:r>
          </w:p>
        </w:tc>
      </w:tr>
      <w:tr w14:paraId="6094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6" w:type="pct"/>
            <w:tcBorders>
              <w:tl2br w:val="nil"/>
              <w:tr2bl w:val="nil"/>
            </w:tcBorders>
            <w:vAlign w:val="center"/>
          </w:tcPr>
          <w:p w14:paraId="7946D3DB">
            <w:pPr>
              <w:widowControl/>
              <w:numPr>
                <w:ilvl w:val="0"/>
                <w:numId w:val="1"/>
              </w:numPr>
              <w:spacing w:line="460" w:lineRule="exact"/>
              <w:ind w:left="0" w:leftChars="0" w:firstLine="0" w:firstLineChars="0"/>
              <w:jc w:val="center"/>
              <w:rPr>
                <w:rFonts w:cs="宋体"/>
                <w:kern w:val="0"/>
                <w:sz w:val="21"/>
              </w:rPr>
            </w:pPr>
          </w:p>
        </w:tc>
        <w:tc>
          <w:tcPr>
            <w:tcW w:w="595" w:type="pct"/>
            <w:vMerge w:val="continue"/>
            <w:tcBorders>
              <w:tl2br w:val="nil"/>
              <w:tr2bl w:val="nil"/>
            </w:tcBorders>
            <w:vAlign w:val="center"/>
          </w:tcPr>
          <w:p w14:paraId="62EEF64D">
            <w:pPr>
              <w:widowControl/>
              <w:spacing w:line="460" w:lineRule="exact"/>
              <w:ind w:firstLine="0" w:firstLineChars="0"/>
              <w:jc w:val="center"/>
              <w:rPr>
                <w:rFonts w:cs="宋体"/>
                <w:kern w:val="0"/>
                <w:sz w:val="21"/>
              </w:rPr>
            </w:pPr>
          </w:p>
        </w:tc>
        <w:tc>
          <w:tcPr>
            <w:tcW w:w="1491" w:type="pct"/>
            <w:tcBorders>
              <w:tl2br w:val="nil"/>
              <w:tr2bl w:val="nil"/>
            </w:tcBorders>
            <w:vAlign w:val="center"/>
          </w:tcPr>
          <w:p w14:paraId="75B1A4D1">
            <w:pPr>
              <w:widowControl/>
              <w:spacing w:line="460" w:lineRule="exact"/>
              <w:ind w:firstLine="0" w:firstLineChars="0"/>
              <w:jc w:val="center"/>
              <w:rPr>
                <w:rFonts w:hint="eastAsia" w:cs="宋体"/>
                <w:kern w:val="0"/>
                <w:sz w:val="21"/>
              </w:rPr>
            </w:pPr>
            <w:r>
              <w:rPr>
                <w:rFonts w:hint="eastAsia" w:cs="宋体"/>
                <w:kern w:val="0"/>
                <w:sz w:val="21"/>
              </w:rPr>
              <w:t>病案首页质控服务</w:t>
            </w:r>
          </w:p>
        </w:tc>
        <w:tc>
          <w:tcPr>
            <w:tcW w:w="2696" w:type="pct"/>
            <w:tcBorders>
              <w:tl2br w:val="nil"/>
              <w:tr2bl w:val="nil"/>
            </w:tcBorders>
            <w:vAlign w:val="center"/>
          </w:tcPr>
          <w:p w14:paraId="57665C5D">
            <w:pPr>
              <w:jc w:val="left"/>
              <w:rPr>
                <w:rFonts w:hint="eastAsia"/>
              </w:rPr>
            </w:pPr>
            <w:r>
              <w:rPr>
                <w:rFonts w:hint="eastAsia"/>
              </w:rPr>
              <w:t>为临床医生提供病案首页编码、质控、入组提醒弹窗插件服务</w:t>
            </w:r>
          </w:p>
        </w:tc>
      </w:tr>
      <w:tr w14:paraId="0181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16" w:type="pct"/>
            <w:tcBorders>
              <w:tl2br w:val="nil"/>
              <w:tr2bl w:val="nil"/>
            </w:tcBorders>
            <w:vAlign w:val="center"/>
          </w:tcPr>
          <w:p w14:paraId="0546B8FC">
            <w:pPr>
              <w:widowControl/>
              <w:numPr>
                <w:ilvl w:val="0"/>
                <w:numId w:val="1"/>
              </w:numPr>
              <w:spacing w:line="460" w:lineRule="exact"/>
              <w:ind w:left="0" w:leftChars="0" w:firstLine="0" w:firstLineChars="0"/>
              <w:jc w:val="center"/>
              <w:rPr>
                <w:rFonts w:hint="eastAsia" w:cs="宋体"/>
                <w:kern w:val="0"/>
                <w:sz w:val="21"/>
              </w:rPr>
            </w:pPr>
          </w:p>
        </w:tc>
        <w:tc>
          <w:tcPr>
            <w:tcW w:w="595" w:type="pct"/>
            <w:tcBorders>
              <w:tl2br w:val="nil"/>
              <w:tr2bl w:val="nil"/>
            </w:tcBorders>
            <w:vAlign w:val="center"/>
          </w:tcPr>
          <w:p w14:paraId="2404BE7D">
            <w:pPr>
              <w:widowControl/>
              <w:spacing w:line="460" w:lineRule="exact"/>
              <w:ind w:firstLine="0" w:firstLineChars="0"/>
              <w:jc w:val="center"/>
              <w:rPr>
                <w:rFonts w:cs="宋体"/>
                <w:kern w:val="0"/>
                <w:sz w:val="21"/>
              </w:rPr>
            </w:pPr>
            <w:r>
              <w:rPr>
                <w:rFonts w:hint="eastAsia" w:cs="宋体"/>
                <w:kern w:val="0"/>
                <w:sz w:val="21"/>
              </w:rPr>
              <w:t>系统对接</w:t>
            </w:r>
          </w:p>
        </w:tc>
        <w:tc>
          <w:tcPr>
            <w:tcW w:w="1491" w:type="pct"/>
            <w:tcBorders>
              <w:tl2br w:val="nil"/>
              <w:tr2bl w:val="nil"/>
            </w:tcBorders>
            <w:vAlign w:val="center"/>
          </w:tcPr>
          <w:p w14:paraId="5CC8B852">
            <w:pPr>
              <w:widowControl/>
              <w:spacing w:line="460" w:lineRule="exact"/>
              <w:ind w:firstLine="0" w:firstLineChars="0"/>
              <w:jc w:val="center"/>
              <w:rPr>
                <w:rFonts w:hint="eastAsia" w:cs="宋体"/>
                <w:kern w:val="0"/>
                <w:sz w:val="21"/>
              </w:rPr>
            </w:pPr>
            <w:r>
              <w:rPr>
                <w:rFonts w:hint="eastAsia" w:cs="宋体"/>
                <w:kern w:val="0"/>
                <w:sz w:val="21"/>
              </w:rPr>
              <w:t>/</w:t>
            </w:r>
          </w:p>
        </w:tc>
        <w:tc>
          <w:tcPr>
            <w:tcW w:w="2696" w:type="pct"/>
            <w:tcBorders>
              <w:tl2br w:val="nil"/>
              <w:tr2bl w:val="nil"/>
            </w:tcBorders>
            <w:vAlign w:val="center"/>
          </w:tcPr>
          <w:p w14:paraId="1049D420">
            <w:pPr>
              <w:ind w:firstLine="480"/>
              <w:jc w:val="left"/>
              <w:rPr>
                <w:rFonts w:hint="eastAsia"/>
              </w:rPr>
            </w:pPr>
          </w:p>
        </w:tc>
      </w:tr>
      <w:tr w14:paraId="57E0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16" w:type="pct"/>
            <w:tcBorders>
              <w:tl2br w:val="nil"/>
              <w:tr2bl w:val="nil"/>
            </w:tcBorders>
            <w:vAlign w:val="center"/>
          </w:tcPr>
          <w:p w14:paraId="65968340">
            <w:pPr>
              <w:widowControl/>
              <w:numPr>
                <w:ilvl w:val="0"/>
                <w:numId w:val="1"/>
              </w:numPr>
              <w:spacing w:line="460" w:lineRule="exact"/>
              <w:ind w:left="0" w:leftChars="0" w:firstLine="0" w:firstLineChars="0"/>
              <w:jc w:val="center"/>
              <w:rPr>
                <w:rFonts w:hint="eastAsia" w:cs="宋体"/>
                <w:kern w:val="0"/>
                <w:sz w:val="21"/>
              </w:rPr>
            </w:pPr>
          </w:p>
        </w:tc>
        <w:tc>
          <w:tcPr>
            <w:tcW w:w="595" w:type="pct"/>
            <w:vMerge w:val="restart"/>
            <w:tcBorders>
              <w:tl2br w:val="nil"/>
              <w:tr2bl w:val="nil"/>
            </w:tcBorders>
            <w:vAlign w:val="center"/>
          </w:tcPr>
          <w:p w14:paraId="4293C0CF">
            <w:pPr>
              <w:widowControl/>
              <w:spacing w:line="460" w:lineRule="exact"/>
              <w:ind w:firstLine="0" w:firstLineChars="0"/>
              <w:jc w:val="center"/>
              <w:rPr>
                <w:rFonts w:cs="宋体"/>
                <w:kern w:val="0"/>
                <w:sz w:val="21"/>
              </w:rPr>
            </w:pPr>
            <w:r>
              <w:rPr>
                <w:rFonts w:hint="eastAsia" w:cs="宋体"/>
                <w:kern w:val="0"/>
                <w:sz w:val="21"/>
              </w:rPr>
              <w:t>专项服务</w:t>
            </w:r>
          </w:p>
        </w:tc>
        <w:tc>
          <w:tcPr>
            <w:tcW w:w="1491" w:type="pct"/>
            <w:tcBorders>
              <w:tl2br w:val="nil"/>
              <w:tr2bl w:val="nil"/>
            </w:tcBorders>
            <w:noWrap/>
            <w:vAlign w:val="center"/>
          </w:tcPr>
          <w:p w14:paraId="532EE9B1">
            <w:pPr>
              <w:widowControl/>
              <w:spacing w:line="460" w:lineRule="exact"/>
              <w:ind w:firstLine="0" w:firstLineChars="0"/>
              <w:jc w:val="center"/>
              <w:rPr>
                <w:rFonts w:hint="eastAsia" w:cs="宋体"/>
                <w:kern w:val="0"/>
                <w:sz w:val="21"/>
              </w:rPr>
            </w:pPr>
            <w:r>
              <w:rPr>
                <w:rFonts w:hint="eastAsia" w:cs="宋体"/>
                <w:kern w:val="0"/>
                <w:sz w:val="21"/>
              </w:rPr>
              <w:t>政策同步服务</w:t>
            </w:r>
          </w:p>
        </w:tc>
        <w:tc>
          <w:tcPr>
            <w:tcW w:w="2696" w:type="pct"/>
            <w:tcBorders>
              <w:tl2br w:val="nil"/>
              <w:tr2bl w:val="nil"/>
            </w:tcBorders>
            <w:noWrap/>
            <w:vAlign w:val="center"/>
          </w:tcPr>
          <w:p w14:paraId="2E8E0A7D">
            <w:pPr>
              <w:jc w:val="left"/>
              <w:rPr>
                <w:rFonts w:hint="eastAsia"/>
              </w:rPr>
            </w:pPr>
            <w:r>
              <w:rPr>
                <w:rFonts w:hint="eastAsia"/>
              </w:rPr>
              <w:t>提供医保付费政策同步专项服务</w:t>
            </w:r>
          </w:p>
        </w:tc>
      </w:tr>
      <w:tr w14:paraId="133D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162E7705">
            <w:pPr>
              <w:widowControl/>
              <w:numPr>
                <w:ilvl w:val="0"/>
                <w:numId w:val="1"/>
              </w:numPr>
              <w:spacing w:line="460" w:lineRule="exact"/>
              <w:ind w:left="0" w:leftChars="0" w:firstLine="0" w:firstLineChars="0"/>
              <w:jc w:val="left"/>
              <w:rPr>
                <w:rFonts w:cs="宋体"/>
                <w:kern w:val="0"/>
                <w:sz w:val="21"/>
              </w:rPr>
            </w:pPr>
          </w:p>
        </w:tc>
        <w:tc>
          <w:tcPr>
            <w:tcW w:w="595" w:type="pct"/>
            <w:vMerge w:val="continue"/>
            <w:tcBorders>
              <w:tl2br w:val="nil"/>
              <w:tr2bl w:val="nil"/>
            </w:tcBorders>
            <w:vAlign w:val="center"/>
          </w:tcPr>
          <w:p w14:paraId="2040D5EF">
            <w:pPr>
              <w:widowControl/>
              <w:spacing w:line="460" w:lineRule="exact"/>
              <w:ind w:firstLine="0" w:firstLineChars="0"/>
              <w:jc w:val="left"/>
              <w:rPr>
                <w:rFonts w:cs="宋体"/>
                <w:kern w:val="0"/>
                <w:sz w:val="21"/>
              </w:rPr>
            </w:pPr>
          </w:p>
        </w:tc>
        <w:tc>
          <w:tcPr>
            <w:tcW w:w="1491" w:type="pct"/>
            <w:tcBorders>
              <w:tl2br w:val="nil"/>
              <w:tr2bl w:val="nil"/>
            </w:tcBorders>
            <w:noWrap/>
            <w:vAlign w:val="center"/>
          </w:tcPr>
          <w:p w14:paraId="4D8DAB6B">
            <w:pPr>
              <w:widowControl/>
              <w:spacing w:line="460" w:lineRule="exact"/>
              <w:ind w:firstLine="0" w:firstLineChars="0"/>
              <w:jc w:val="center"/>
              <w:rPr>
                <w:rFonts w:hint="eastAsia" w:cs="宋体"/>
                <w:kern w:val="0"/>
                <w:sz w:val="21"/>
              </w:rPr>
            </w:pPr>
            <w:r>
              <w:rPr>
                <w:rFonts w:hint="eastAsia" w:cs="宋体"/>
                <w:kern w:val="0"/>
                <w:sz w:val="21"/>
              </w:rPr>
              <w:t>分组器升级服务</w:t>
            </w:r>
          </w:p>
        </w:tc>
        <w:tc>
          <w:tcPr>
            <w:tcW w:w="2696" w:type="pct"/>
            <w:tcBorders>
              <w:tl2br w:val="nil"/>
              <w:tr2bl w:val="nil"/>
            </w:tcBorders>
            <w:noWrap/>
            <w:vAlign w:val="center"/>
          </w:tcPr>
          <w:p w14:paraId="7DD943CD">
            <w:pPr>
              <w:jc w:val="left"/>
              <w:rPr>
                <w:rFonts w:hint="eastAsia"/>
              </w:rPr>
            </w:pPr>
            <w:r>
              <w:rPr>
                <w:rFonts w:hint="eastAsia"/>
              </w:rPr>
              <w:t>提供DIP分组器专项升级服务</w:t>
            </w:r>
          </w:p>
        </w:tc>
      </w:tr>
      <w:tr w14:paraId="1F44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6DD89EDF">
            <w:pPr>
              <w:widowControl/>
              <w:numPr>
                <w:ilvl w:val="0"/>
                <w:numId w:val="1"/>
              </w:numPr>
              <w:spacing w:line="460" w:lineRule="exact"/>
              <w:ind w:left="0" w:leftChars="0" w:firstLine="0" w:firstLineChars="0"/>
              <w:jc w:val="left"/>
              <w:rPr>
                <w:rFonts w:cs="宋体"/>
                <w:kern w:val="0"/>
                <w:sz w:val="21"/>
              </w:rPr>
            </w:pPr>
          </w:p>
        </w:tc>
        <w:tc>
          <w:tcPr>
            <w:tcW w:w="595" w:type="pct"/>
            <w:vMerge w:val="continue"/>
            <w:tcBorders>
              <w:tl2br w:val="nil"/>
              <w:tr2bl w:val="nil"/>
            </w:tcBorders>
            <w:vAlign w:val="center"/>
          </w:tcPr>
          <w:p w14:paraId="3FCAA2BA">
            <w:pPr>
              <w:widowControl/>
              <w:spacing w:line="460" w:lineRule="exact"/>
              <w:ind w:firstLine="0" w:firstLineChars="0"/>
              <w:jc w:val="left"/>
              <w:rPr>
                <w:rFonts w:cs="宋体"/>
                <w:kern w:val="0"/>
                <w:sz w:val="21"/>
              </w:rPr>
            </w:pPr>
          </w:p>
        </w:tc>
        <w:tc>
          <w:tcPr>
            <w:tcW w:w="1491" w:type="pct"/>
            <w:tcBorders>
              <w:tl2br w:val="nil"/>
              <w:tr2bl w:val="nil"/>
            </w:tcBorders>
            <w:noWrap/>
            <w:vAlign w:val="center"/>
          </w:tcPr>
          <w:p w14:paraId="02CA7976">
            <w:pPr>
              <w:widowControl/>
              <w:spacing w:line="460" w:lineRule="exact"/>
              <w:ind w:firstLine="0" w:firstLineChars="0"/>
              <w:jc w:val="center"/>
              <w:rPr>
                <w:rFonts w:hint="eastAsia" w:cs="宋体"/>
                <w:kern w:val="0"/>
                <w:sz w:val="21"/>
              </w:rPr>
            </w:pPr>
            <w:r>
              <w:rPr>
                <w:rFonts w:hint="eastAsia" w:cs="宋体"/>
                <w:kern w:val="0"/>
                <w:sz w:val="21"/>
              </w:rPr>
              <w:t>知识库升级服务</w:t>
            </w:r>
          </w:p>
        </w:tc>
        <w:tc>
          <w:tcPr>
            <w:tcW w:w="2696" w:type="pct"/>
            <w:tcBorders>
              <w:tl2br w:val="nil"/>
              <w:tr2bl w:val="nil"/>
            </w:tcBorders>
            <w:noWrap/>
            <w:vAlign w:val="center"/>
          </w:tcPr>
          <w:p w14:paraId="65A24386">
            <w:pPr>
              <w:jc w:val="left"/>
              <w:rPr>
                <w:rFonts w:hint="eastAsia"/>
              </w:rPr>
            </w:pPr>
            <w:r>
              <w:rPr>
                <w:rFonts w:hint="eastAsia"/>
              </w:rPr>
              <w:t>提供医保结算清单质控规则知识库不定期升级服务</w:t>
            </w:r>
          </w:p>
        </w:tc>
      </w:tr>
      <w:tr w14:paraId="49CE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3B1EC55A">
            <w:pPr>
              <w:widowControl/>
              <w:numPr>
                <w:ilvl w:val="0"/>
                <w:numId w:val="1"/>
              </w:numPr>
              <w:spacing w:line="460" w:lineRule="exact"/>
              <w:ind w:left="0" w:leftChars="0" w:firstLine="0" w:firstLineChars="0"/>
              <w:jc w:val="left"/>
              <w:rPr>
                <w:rFonts w:cs="宋体"/>
                <w:kern w:val="0"/>
                <w:sz w:val="21"/>
              </w:rPr>
            </w:pPr>
          </w:p>
        </w:tc>
        <w:tc>
          <w:tcPr>
            <w:tcW w:w="595" w:type="pct"/>
            <w:vMerge w:val="continue"/>
            <w:tcBorders>
              <w:tl2br w:val="nil"/>
              <w:tr2bl w:val="nil"/>
            </w:tcBorders>
            <w:vAlign w:val="center"/>
          </w:tcPr>
          <w:p w14:paraId="0D30E9DA">
            <w:pPr>
              <w:widowControl/>
              <w:spacing w:line="460" w:lineRule="exact"/>
              <w:ind w:firstLine="0" w:firstLineChars="0"/>
              <w:jc w:val="left"/>
              <w:rPr>
                <w:rFonts w:cs="宋体"/>
                <w:kern w:val="0"/>
                <w:sz w:val="21"/>
              </w:rPr>
            </w:pPr>
          </w:p>
        </w:tc>
        <w:tc>
          <w:tcPr>
            <w:tcW w:w="1491" w:type="pct"/>
            <w:tcBorders>
              <w:tl2br w:val="nil"/>
              <w:tr2bl w:val="nil"/>
            </w:tcBorders>
            <w:noWrap/>
            <w:vAlign w:val="center"/>
          </w:tcPr>
          <w:p w14:paraId="623AA2CE">
            <w:pPr>
              <w:widowControl/>
              <w:spacing w:line="460" w:lineRule="exact"/>
              <w:ind w:firstLine="0" w:firstLineChars="0"/>
              <w:jc w:val="center"/>
              <w:rPr>
                <w:rFonts w:hint="eastAsia" w:cs="宋体"/>
                <w:kern w:val="0"/>
                <w:sz w:val="21"/>
              </w:rPr>
            </w:pPr>
            <w:r>
              <w:rPr>
                <w:rFonts w:hint="eastAsia" w:cs="宋体"/>
                <w:kern w:val="0"/>
                <w:sz w:val="21"/>
              </w:rPr>
              <w:t>优化升级服务</w:t>
            </w:r>
          </w:p>
        </w:tc>
        <w:tc>
          <w:tcPr>
            <w:tcW w:w="2696" w:type="pct"/>
            <w:tcBorders>
              <w:tl2br w:val="nil"/>
              <w:tr2bl w:val="nil"/>
            </w:tcBorders>
            <w:noWrap/>
            <w:vAlign w:val="center"/>
          </w:tcPr>
          <w:p w14:paraId="268D3135">
            <w:pPr>
              <w:jc w:val="left"/>
              <w:rPr>
                <w:rFonts w:hint="eastAsia"/>
              </w:rPr>
            </w:pPr>
            <w:r>
              <w:rPr>
                <w:rFonts w:hint="eastAsia"/>
              </w:rPr>
              <w:t>提供系统不定期的优化升级服务</w:t>
            </w:r>
          </w:p>
        </w:tc>
      </w:tr>
      <w:tr w14:paraId="3F74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216" w:type="pct"/>
            <w:tcBorders>
              <w:tl2br w:val="nil"/>
              <w:tr2bl w:val="nil"/>
            </w:tcBorders>
            <w:vAlign w:val="center"/>
          </w:tcPr>
          <w:p w14:paraId="25B6139A">
            <w:pPr>
              <w:widowControl/>
              <w:numPr>
                <w:ilvl w:val="0"/>
                <w:numId w:val="1"/>
              </w:numPr>
              <w:spacing w:line="460" w:lineRule="exact"/>
              <w:ind w:left="0" w:leftChars="0" w:firstLine="0" w:firstLineChars="0"/>
              <w:jc w:val="left"/>
              <w:rPr>
                <w:rFonts w:cs="宋体"/>
                <w:kern w:val="0"/>
                <w:sz w:val="21"/>
              </w:rPr>
            </w:pPr>
          </w:p>
        </w:tc>
        <w:tc>
          <w:tcPr>
            <w:tcW w:w="595" w:type="pct"/>
            <w:vMerge w:val="continue"/>
            <w:tcBorders>
              <w:tl2br w:val="nil"/>
              <w:tr2bl w:val="nil"/>
            </w:tcBorders>
            <w:vAlign w:val="center"/>
          </w:tcPr>
          <w:p w14:paraId="4EA85BE7">
            <w:pPr>
              <w:widowControl/>
              <w:spacing w:line="460" w:lineRule="exact"/>
              <w:ind w:firstLine="0" w:firstLineChars="0"/>
              <w:jc w:val="left"/>
              <w:rPr>
                <w:rFonts w:cs="宋体"/>
                <w:kern w:val="0"/>
                <w:sz w:val="21"/>
              </w:rPr>
            </w:pPr>
          </w:p>
        </w:tc>
        <w:tc>
          <w:tcPr>
            <w:tcW w:w="1491" w:type="pct"/>
            <w:tcBorders>
              <w:tl2br w:val="nil"/>
              <w:tr2bl w:val="nil"/>
            </w:tcBorders>
            <w:noWrap/>
            <w:vAlign w:val="center"/>
          </w:tcPr>
          <w:p w14:paraId="56FCFBB9">
            <w:pPr>
              <w:widowControl/>
              <w:spacing w:line="460" w:lineRule="exact"/>
              <w:ind w:firstLine="0" w:firstLineChars="0"/>
              <w:jc w:val="center"/>
              <w:rPr>
                <w:rFonts w:hint="eastAsia" w:cs="宋体"/>
                <w:kern w:val="0"/>
                <w:sz w:val="21"/>
              </w:rPr>
            </w:pPr>
            <w:r>
              <w:rPr>
                <w:rFonts w:hint="eastAsia" w:cs="宋体"/>
                <w:kern w:val="0"/>
                <w:sz w:val="21"/>
              </w:rPr>
              <w:t>辅导测算及盈亏分析服务</w:t>
            </w:r>
          </w:p>
        </w:tc>
        <w:tc>
          <w:tcPr>
            <w:tcW w:w="2696" w:type="pct"/>
            <w:tcBorders>
              <w:tl2br w:val="nil"/>
              <w:tr2bl w:val="nil"/>
            </w:tcBorders>
            <w:noWrap/>
            <w:vAlign w:val="center"/>
          </w:tcPr>
          <w:p w14:paraId="7E2DAFF2">
            <w:pPr>
              <w:jc w:val="left"/>
              <w:rPr>
                <w:rFonts w:hint="eastAsia"/>
              </w:rPr>
            </w:pPr>
            <w:r>
              <w:rPr>
                <w:rFonts w:hint="eastAsia"/>
              </w:rPr>
              <w:t>辅导医保科对医保基金测算及科室盈亏分析梳理</w:t>
            </w:r>
          </w:p>
        </w:tc>
      </w:tr>
      <w:tr w14:paraId="75E8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69901394">
            <w:pPr>
              <w:widowControl/>
              <w:numPr>
                <w:ilvl w:val="0"/>
                <w:numId w:val="1"/>
              </w:numPr>
              <w:spacing w:line="460" w:lineRule="exact"/>
              <w:ind w:left="0" w:leftChars="0" w:firstLine="0" w:firstLineChars="0"/>
              <w:jc w:val="left"/>
              <w:rPr>
                <w:rFonts w:cs="宋体"/>
                <w:kern w:val="0"/>
                <w:sz w:val="21"/>
              </w:rPr>
            </w:pPr>
          </w:p>
        </w:tc>
        <w:tc>
          <w:tcPr>
            <w:tcW w:w="595" w:type="pct"/>
            <w:vMerge w:val="continue"/>
            <w:tcBorders>
              <w:tl2br w:val="nil"/>
              <w:tr2bl w:val="nil"/>
            </w:tcBorders>
            <w:vAlign w:val="center"/>
          </w:tcPr>
          <w:p w14:paraId="0B626136">
            <w:pPr>
              <w:widowControl/>
              <w:spacing w:line="460" w:lineRule="exact"/>
              <w:ind w:firstLine="0" w:firstLineChars="0"/>
              <w:jc w:val="left"/>
              <w:rPr>
                <w:rFonts w:cs="宋体"/>
                <w:kern w:val="0"/>
                <w:sz w:val="21"/>
              </w:rPr>
            </w:pPr>
          </w:p>
        </w:tc>
        <w:tc>
          <w:tcPr>
            <w:tcW w:w="1491" w:type="pct"/>
            <w:tcBorders>
              <w:tl2br w:val="nil"/>
              <w:tr2bl w:val="nil"/>
            </w:tcBorders>
            <w:noWrap/>
            <w:vAlign w:val="center"/>
          </w:tcPr>
          <w:p w14:paraId="3A6E88D0">
            <w:pPr>
              <w:widowControl/>
              <w:spacing w:line="460" w:lineRule="exact"/>
              <w:ind w:firstLine="0" w:firstLineChars="0"/>
              <w:jc w:val="center"/>
              <w:rPr>
                <w:rFonts w:hint="eastAsia" w:cs="宋体"/>
                <w:kern w:val="0"/>
                <w:sz w:val="21"/>
              </w:rPr>
            </w:pPr>
            <w:r>
              <w:rPr>
                <w:rFonts w:hint="eastAsia" w:cs="宋体"/>
                <w:kern w:val="0"/>
                <w:sz w:val="21"/>
              </w:rPr>
              <w:t>测算报告及分析服务</w:t>
            </w:r>
          </w:p>
        </w:tc>
        <w:tc>
          <w:tcPr>
            <w:tcW w:w="2696" w:type="pct"/>
            <w:tcBorders>
              <w:tl2br w:val="nil"/>
              <w:tr2bl w:val="nil"/>
            </w:tcBorders>
            <w:noWrap/>
            <w:vAlign w:val="center"/>
          </w:tcPr>
          <w:p w14:paraId="36BF3E6F">
            <w:pPr>
              <w:jc w:val="left"/>
              <w:rPr>
                <w:rFonts w:hint="eastAsia"/>
              </w:rPr>
            </w:pPr>
            <w:r>
              <w:rPr>
                <w:rFonts w:hint="eastAsia"/>
              </w:rPr>
              <w:t>获取院方历史数据测算DIP核心指标并出具专业分析报告</w:t>
            </w:r>
          </w:p>
        </w:tc>
      </w:tr>
      <w:tr w14:paraId="1206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0C932A01">
            <w:pPr>
              <w:widowControl/>
              <w:numPr>
                <w:ilvl w:val="0"/>
                <w:numId w:val="1"/>
              </w:numPr>
              <w:spacing w:line="460" w:lineRule="exact"/>
              <w:ind w:left="0" w:leftChars="0" w:firstLine="0" w:firstLineChars="0"/>
              <w:jc w:val="left"/>
              <w:rPr>
                <w:rFonts w:cs="宋体"/>
                <w:kern w:val="0"/>
                <w:sz w:val="21"/>
              </w:rPr>
            </w:pPr>
          </w:p>
        </w:tc>
        <w:tc>
          <w:tcPr>
            <w:tcW w:w="595" w:type="pct"/>
            <w:vMerge w:val="continue"/>
            <w:tcBorders>
              <w:tl2br w:val="nil"/>
              <w:tr2bl w:val="nil"/>
            </w:tcBorders>
            <w:vAlign w:val="center"/>
          </w:tcPr>
          <w:p w14:paraId="45668C1A">
            <w:pPr>
              <w:widowControl/>
              <w:spacing w:line="460" w:lineRule="exact"/>
              <w:ind w:firstLine="0" w:firstLineChars="0"/>
              <w:jc w:val="left"/>
              <w:rPr>
                <w:rFonts w:cs="宋体"/>
                <w:kern w:val="0"/>
                <w:sz w:val="21"/>
              </w:rPr>
            </w:pPr>
          </w:p>
        </w:tc>
        <w:tc>
          <w:tcPr>
            <w:tcW w:w="1491" w:type="pct"/>
            <w:tcBorders>
              <w:tl2br w:val="nil"/>
              <w:tr2bl w:val="nil"/>
            </w:tcBorders>
            <w:vAlign w:val="center"/>
          </w:tcPr>
          <w:p w14:paraId="3F804172">
            <w:pPr>
              <w:widowControl/>
              <w:spacing w:line="460" w:lineRule="exact"/>
              <w:ind w:firstLine="0" w:firstLineChars="0"/>
              <w:jc w:val="center"/>
              <w:rPr>
                <w:rFonts w:hint="eastAsia" w:cs="宋体"/>
                <w:kern w:val="0"/>
                <w:sz w:val="21"/>
              </w:rPr>
            </w:pPr>
            <w:r>
              <w:rPr>
                <w:rFonts w:hint="eastAsia" w:cs="宋体"/>
                <w:kern w:val="0"/>
                <w:sz w:val="21"/>
              </w:rPr>
              <w:t>数据接口调整辅助服务</w:t>
            </w:r>
          </w:p>
        </w:tc>
        <w:tc>
          <w:tcPr>
            <w:tcW w:w="2696" w:type="pct"/>
            <w:tcBorders>
              <w:tl2br w:val="nil"/>
              <w:tr2bl w:val="nil"/>
            </w:tcBorders>
            <w:vAlign w:val="center"/>
          </w:tcPr>
          <w:p w14:paraId="2C091D35">
            <w:pPr>
              <w:jc w:val="left"/>
              <w:rPr>
                <w:rFonts w:hint="eastAsia"/>
              </w:rPr>
            </w:pPr>
            <w:r>
              <w:rPr>
                <w:rFonts w:hint="eastAsia"/>
              </w:rPr>
              <w:t>因政策等原因导致数据接口调整时免费提供辅助支持服务</w:t>
            </w:r>
          </w:p>
        </w:tc>
      </w:tr>
      <w:tr w14:paraId="3953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tcBorders>
              <w:tl2br w:val="nil"/>
              <w:tr2bl w:val="nil"/>
            </w:tcBorders>
            <w:vAlign w:val="center"/>
          </w:tcPr>
          <w:p w14:paraId="3A521169">
            <w:pPr>
              <w:widowControl/>
              <w:numPr>
                <w:ilvl w:val="0"/>
                <w:numId w:val="1"/>
              </w:numPr>
              <w:spacing w:line="460" w:lineRule="exact"/>
              <w:ind w:left="0" w:leftChars="0" w:firstLine="0" w:firstLineChars="0"/>
              <w:jc w:val="left"/>
              <w:rPr>
                <w:rFonts w:cs="宋体"/>
                <w:kern w:val="0"/>
                <w:sz w:val="21"/>
              </w:rPr>
            </w:pPr>
          </w:p>
        </w:tc>
        <w:tc>
          <w:tcPr>
            <w:tcW w:w="595" w:type="pct"/>
            <w:vMerge w:val="continue"/>
            <w:tcBorders>
              <w:tl2br w:val="nil"/>
              <w:tr2bl w:val="nil"/>
            </w:tcBorders>
            <w:vAlign w:val="center"/>
          </w:tcPr>
          <w:p w14:paraId="00F7D7FD">
            <w:pPr>
              <w:widowControl/>
              <w:spacing w:line="460" w:lineRule="exact"/>
              <w:ind w:firstLine="0" w:firstLineChars="0"/>
              <w:jc w:val="left"/>
              <w:rPr>
                <w:rFonts w:cs="宋体"/>
                <w:kern w:val="0"/>
                <w:sz w:val="21"/>
              </w:rPr>
            </w:pPr>
          </w:p>
        </w:tc>
        <w:tc>
          <w:tcPr>
            <w:tcW w:w="1491" w:type="pct"/>
            <w:tcBorders>
              <w:tl2br w:val="nil"/>
              <w:tr2bl w:val="nil"/>
            </w:tcBorders>
            <w:vAlign w:val="center"/>
          </w:tcPr>
          <w:p w14:paraId="5CB82CFD">
            <w:pPr>
              <w:widowControl/>
              <w:spacing w:line="460" w:lineRule="exact"/>
              <w:ind w:firstLine="0" w:firstLineChars="0"/>
              <w:jc w:val="center"/>
              <w:rPr>
                <w:rFonts w:hint="eastAsia" w:cs="宋体"/>
                <w:kern w:val="0"/>
                <w:sz w:val="21"/>
              </w:rPr>
            </w:pPr>
            <w:r>
              <w:rPr>
                <w:rFonts w:hint="eastAsia" w:cs="宋体"/>
                <w:kern w:val="0"/>
                <w:sz w:val="21"/>
              </w:rPr>
              <w:t>数据对接服务</w:t>
            </w:r>
          </w:p>
        </w:tc>
        <w:tc>
          <w:tcPr>
            <w:tcW w:w="2696" w:type="pct"/>
            <w:tcBorders>
              <w:tl2br w:val="nil"/>
              <w:tr2bl w:val="nil"/>
            </w:tcBorders>
            <w:vAlign w:val="center"/>
          </w:tcPr>
          <w:p w14:paraId="69AD182C">
            <w:pPr>
              <w:jc w:val="left"/>
              <w:rPr>
                <w:rFonts w:hint="eastAsia"/>
              </w:rPr>
            </w:pPr>
            <w:r>
              <w:rPr>
                <w:rFonts w:hint="eastAsia"/>
              </w:rPr>
              <w:t>完成和省医保平台的无缝对接，接口有调整免费及时更新</w:t>
            </w:r>
          </w:p>
        </w:tc>
      </w:tr>
    </w:tbl>
    <w:p w14:paraId="3D89BA5C">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5538D">
    <w:pPr>
      <w:pStyle w:val="3"/>
      <w:jc w:val="center"/>
    </w:pPr>
    <w:r>
      <w:fldChar w:fldCharType="begin"/>
    </w:r>
    <w:r>
      <w:instrText xml:space="preserve">PAGE   \* MERGEFORMAT</w:instrText>
    </w:r>
    <w:r>
      <w:fldChar w:fldCharType="separate"/>
    </w:r>
    <w:r>
      <w:rPr>
        <w:lang w:val="zh-CN"/>
      </w:rP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A227F"/>
    <w:multiLevelType w:val="singleLevel"/>
    <w:tmpl w:val="840A227F"/>
    <w:lvl w:ilvl="0" w:tentative="0">
      <w:start w:val="1"/>
      <w:numFmt w:val="decimal"/>
      <w:suff w:val="nothing"/>
      <w:lvlText w:val="%1"/>
      <w:lvlJc w:val="left"/>
      <w:pPr>
        <w:tabs>
          <w:tab w:val="left" w:pos="0"/>
        </w:tabs>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62F86"/>
    <w:rsid w:val="00062F86"/>
    <w:rsid w:val="000A3D75"/>
    <w:rsid w:val="00135E74"/>
    <w:rsid w:val="001F166C"/>
    <w:rsid w:val="001F18E9"/>
    <w:rsid w:val="002E5883"/>
    <w:rsid w:val="00311970"/>
    <w:rsid w:val="00372166"/>
    <w:rsid w:val="003E4F55"/>
    <w:rsid w:val="004262D7"/>
    <w:rsid w:val="00440E5B"/>
    <w:rsid w:val="004B1E3E"/>
    <w:rsid w:val="004E22EA"/>
    <w:rsid w:val="004E66B5"/>
    <w:rsid w:val="00514D83"/>
    <w:rsid w:val="005778CA"/>
    <w:rsid w:val="006404F7"/>
    <w:rsid w:val="00664A59"/>
    <w:rsid w:val="007F23C1"/>
    <w:rsid w:val="008A0A6D"/>
    <w:rsid w:val="008F735B"/>
    <w:rsid w:val="009F566A"/>
    <w:rsid w:val="00AF68FC"/>
    <w:rsid w:val="00B22D85"/>
    <w:rsid w:val="00BE1134"/>
    <w:rsid w:val="00DC0BD4"/>
    <w:rsid w:val="00E707E0"/>
    <w:rsid w:val="00E90A63"/>
    <w:rsid w:val="00E948F7"/>
    <w:rsid w:val="00F5233E"/>
    <w:rsid w:val="00F65C0D"/>
    <w:rsid w:val="00F7152F"/>
    <w:rsid w:val="0C0D575A"/>
    <w:rsid w:val="0CAC1ACC"/>
    <w:rsid w:val="6E2723E3"/>
    <w:rsid w:val="746C0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link w:val="7"/>
    <w:qFormat/>
    <w:uiPriority w:val="99"/>
    <w:pPr>
      <w:ind w:firstLine="420" w:firstLineChars="200"/>
    </w:pPr>
    <w:rPr>
      <w:rFonts w:ascii="黑体" w:hAnsi="宋体" w:eastAsia="黑体" w:cs="Times New Roman"/>
      <w:bCs/>
      <w:sz w:val="52"/>
      <w:szCs w:val="5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缩进 字符"/>
    <w:link w:val="2"/>
    <w:qFormat/>
    <w:uiPriority w:val="99"/>
    <w:rPr>
      <w:rFonts w:ascii="黑体" w:hAnsi="宋体" w:eastAsia="黑体" w:cs="Times New Roman"/>
      <w:bCs/>
      <w:sz w:val="52"/>
      <w:szCs w:val="52"/>
    </w:rPr>
  </w:style>
  <w:style w:type="character" w:customStyle="1" w:styleId="8">
    <w:name w:val="页眉 字符"/>
    <w:basedOn w:val="6"/>
    <w:link w:val="4"/>
    <w:qFormat/>
    <w:uiPriority w:val="99"/>
    <w:rPr>
      <w:rFonts w:asciiTheme="minorHAnsi" w:hAnsiTheme="minorHAnsi" w:eastAsiaTheme="minorEastAsia" w:cstheme="minorBidi"/>
      <w:sz w:val="18"/>
      <w:szCs w:val="18"/>
    </w:rPr>
  </w:style>
  <w:style w:type="character" w:customStyle="1" w:styleId="9">
    <w:name w:val="页脚 字符"/>
    <w:basedOn w:val="6"/>
    <w:link w:val="3"/>
    <w:qFormat/>
    <w:uiPriority w:val="99"/>
    <w:rPr>
      <w:rFonts w:asciiTheme="minorHAnsi" w:hAnsiTheme="minorHAnsi" w:eastAsiaTheme="minorEastAsia" w:cstheme="minorBidi"/>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广州市华奕电子科技有限公司</Company>
  <Pages>4</Pages>
  <Words>3142</Words>
  <Characters>3209</Characters>
  <Lines>15</Lines>
  <Paragraphs>4</Paragraphs>
  <TotalTime>5</TotalTime>
  <ScaleCrop>false</ScaleCrop>
  <LinksUpToDate>false</LinksUpToDate>
  <CharactersWithSpaces>3209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2024-11-01T02:29:00Z</dcterms:created>
  <dc:creator>刘友宝</dc:creator>
  <cp:lastModifiedBy>涓涓</cp:lastModifiedBy>
  <cp:lastPrinted>2024-11-15T06:29:00Z</cp:lastPrinted>
  <dcterms:modified xsi:type="dcterms:W3CDTF">2024-11-15T08:12:47Z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6D6A87C03FF04371A665F36D240C2E97_12</vt:lpwstr>
  </property>
</Properties>
</file>